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9A6161">
      <w:pPr>
        <w:spacing w:after="0"/>
        <w:jc w:val="center"/>
        <w:rPr>
          <w:rFonts w:ascii="Times New Roman" w:hAnsi="Times New Roman" w:cs="Times New Roman"/>
          <w:b/>
          <w:noProof/>
          <w:sz w:val="28"/>
          <w:szCs w:val="28"/>
        </w:rPr>
      </w:pPr>
    </w:p>
    <w:p w:rsidR="00DB08EF" w:rsidRPr="00662B1A" w:rsidRDefault="00DB08EF" w:rsidP="009A6161">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B62F43" w:rsidRDefault="00881559" w:rsidP="009A6161">
      <w:pPr>
        <w:autoSpaceDE w:val="0"/>
        <w:spacing w:after="0" w:line="240" w:lineRule="auto"/>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p>
    <w:p w:rsidR="005E0B8C" w:rsidRPr="005E0B8C" w:rsidRDefault="005E0B8C" w:rsidP="005E0B8C">
      <w:pPr>
        <w:tabs>
          <w:tab w:val="left" w:pos="1245"/>
        </w:tabs>
        <w:jc w:val="center"/>
        <w:rPr>
          <w:rFonts w:ascii="Times New Roman" w:hAnsi="Times New Roman" w:cs="Times New Roman"/>
          <w:b/>
          <w:sz w:val="28"/>
          <w:szCs w:val="28"/>
        </w:rPr>
      </w:pPr>
      <w:r w:rsidRPr="005E0B8C">
        <w:rPr>
          <w:rFonts w:ascii="Times New Roman" w:hAnsi="Times New Roman" w:cs="Times New Roman"/>
          <w:b/>
          <w:sz w:val="28"/>
          <w:szCs w:val="28"/>
        </w:rPr>
        <w:t>на выполнение работ по «Стабилизации грунтов на территории предприятия ООО «ВОЛМА-Оренбург»</w:t>
      </w:r>
    </w:p>
    <w:p w:rsidR="00604D6A" w:rsidRPr="00662B1A" w:rsidRDefault="00604D6A" w:rsidP="009A6161">
      <w:pPr>
        <w:spacing w:after="0" w:line="240" w:lineRule="auto"/>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Pr="00662B1A" w:rsidRDefault="00FD3CA3"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001B4" w:rsidRPr="00662B1A"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Default="00A22DC0" w:rsidP="0089145B">
      <w:pPr>
        <w:ind w:right="-142"/>
        <w:rPr>
          <w:rFonts w:ascii="Times New Roman" w:hAnsi="Times New Roman" w:cs="Times New Roman"/>
          <w:b/>
          <w:bCs/>
        </w:rPr>
      </w:pPr>
    </w:p>
    <w:p w:rsidR="006F5369" w:rsidRPr="004E054D"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5E0B8C" w:rsidRPr="005E0B8C">
        <w:rPr>
          <w:rFonts w:ascii="Times New Roman" w:hAnsi="Times New Roman" w:cs="Times New Roman"/>
          <w:b/>
          <w:noProof/>
        </w:rPr>
        <w:t>2</w:t>
      </w:r>
      <w:r w:rsidR="005E0B8C" w:rsidRPr="00B62DBA">
        <w:rPr>
          <w:rFonts w:ascii="Times New Roman" w:hAnsi="Times New Roman" w:cs="Times New Roman"/>
          <w:b/>
          <w:noProof/>
        </w:rPr>
        <w:t>0</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7C0989">
        <w:rPr>
          <w:rFonts w:ascii="Times New Roman" w:eastAsia="Times New Roman" w:hAnsi="Times New Roman" w:cs="Times New Roman"/>
          <w:bCs/>
        </w:rPr>
        <w:t>Л</w:t>
      </w:r>
      <w:r w:rsidR="00ED1C36" w:rsidRPr="00ED1C36">
        <w:rPr>
          <w:rFonts w:ascii="Times New Roman" w:eastAsia="Times New Roman" w:hAnsi="Times New Roman" w:cs="Times New Roman"/>
          <w:bCs/>
        </w:rPr>
        <w:t>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клонение (</w:t>
      </w:r>
      <w:proofErr w:type="spellStart"/>
      <w:r w:rsidR="007A2297" w:rsidRPr="00662B1A">
        <w:rPr>
          <w:b w:val="0"/>
          <w:bCs w:val="0"/>
          <w:snapToGrid w:val="0"/>
          <w:sz w:val="22"/>
          <w:szCs w:val="22"/>
        </w:rPr>
        <w:t>недопуск</w:t>
      </w:r>
      <w:proofErr w:type="spellEnd"/>
      <w:r w:rsidR="007A2297" w:rsidRPr="00662B1A">
        <w:rPr>
          <w:b w:val="0"/>
          <w:bCs w:val="0"/>
          <w:snapToGrid w:val="0"/>
          <w:sz w:val="22"/>
          <w:szCs w:val="22"/>
        </w:rPr>
        <w:t xml:space="preserve">)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Pr="00873157" w:rsidRDefault="005421D3" w:rsidP="00873157">
            <w:pPr>
              <w:widowControl w:val="0"/>
              <w:spacing w:after="0"/>
              <w:jc w:val="both"/>
              <w:rPr>
                <w:rFonts w:ascii="Times New Roman" w:hAnsi="Times New Roman" w:cs="Times New Roman"/>
                <w:b/>
              </w:rPr>
            </w:pPr>
          </w:p>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E-</w:t>
            </w:r>
            <w:proofErr w:type="spellStart"/>
            <w:r w:rsidRPr="00DC416C">
              <w:rPr>
                <w:rFonts w:ascii="Times New Roman" w:eastAsia="Times New Roman" w:hAnsi="Times New Roman" w:cs="Times New Roman"/>
              </w:rPr>
              <w:t>mail</w:t>
            </w:r>
            <w:proofErr w:type="spellEnd"/>
            <w:r w:rsidRPr="00DC416C">
              <w:rPr>
                <w:rFonts w:ascii="Times New Roman" w:eastAsia="Times New Roman" w:hAnsi="Times New Roman" w:cs="Times New Roman"/>
              </w:rPr>
              <w:t xml:space="preserve">: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9A6161" w:rsidRPr="009A6161" w:rsidRDefault="009A6161" w:rsidP="009A6161">
            <w:pPr>
              <w:spacing w:after="0"/>
              <w:jc w:val="both"/>
              <w:rPr>
                <w:rFonts w:ascii="Times New Roman" w:hAnsi="Times New Roman" w:cs="Times New Roman"/>
              </w:rPr>
            </w:pPr>
            <w:r w:rsidRPr="009A6161">
              <w:rPr>
                <w:rFonts w:ascii="Times New Roman" w:hAnsi="Times New Roman" w:cs="Times New Roman"/>
              </w:rPr>
              <w:t>Рябенко Данил Геннадьевич, Управляющий директор ООО «ВОЛМА-Оренбург»,</w:t>
            </w:r>
          </w:p>
          <w:p w:rsidR="009A6161" w:rsidRPr="009A6161" w:rsidRDefault="009A6161" w:rsidP="009A6161">
            <w:pPr>
              <w:spacing w:after="0"/>
              <w:jc w:val="both"/>
              <w:rPr>
                <w:rFonts w:ascii="Times New Roman" w:hAnsi="Times New Roman" w:cs="Times New Roman"/>
              </w:rPr>
            </w:pPr>
            <w:r w:rsidRPr="009A6161">
              <w:rPr>
                <w:rFonts w:ascii="Times New Roman" w:hAnsi="Times New Roman" w:cs="Times New Roman"/>
              </w:rPr>
              <w:t>тел.: +7(922)-554-01-23</w:t>
            </w:r>
          </w:p>
          <w:p w:rsidR="009A6161" w:rsidRPr="009A6161" w:rsidRDefault="009A6161" w:rsidP="009A6161">
            <w:pPr>
              <w:overflowPunct w:val="0"/>
              <w:autoSpaceDE w:val="0"/>
              <w:autoSpaceDN w:val="0"/>
              <w:adjustRightInd w:val="0"/>
              <w:spacing w:after="0"/>
              <w:textAlignment w:val="baseline"/>
              <w:rPr>
                <w:rFonts w:ascii="Times New Roman" w:hAnsi="Times New Roman" w:cs="Times New Roman"/>
              </w:rPr>
            </w:pPr>
            <w:r w:rsidRPr="009A6161">
              <w:rPr>
                <w:rFonts w:ascii="Times New Roman" w:hAnsi="Times New Roman" w:cs="Times New Roman"/>
              </w:rPr>
              <w:t xml:space="preserve">Напольских Борис Николаевич, инженер по эксплуатации зданий и сооружений, </w:t>
            </w:r>
          </w:p>
          <w:p w:rsidR="0002661A" w:rsidRPr="009A6161" w:rsidRDefault="009A6161" w:rsidP="00B77B4E">
            <w:pPr>
              <w:overflowPunct w:val="0"/>
              <w:autoSpaceDE w:val="0"/>
              <w:autoSpaceDN w:val="0"/>
              <w:adjustRightInd w:val="0"/>
              <w:spacing w:after="0"/>
              <w:textAlignment w:val="baseline"/>
              <w:rPr>
                <w:rFonts w:ascii="Times New Roman" w:hAnsi="Times New Roman" w:cs="Times New Roman"/>
                <w:lang w:val="en-US"/>
              </w:rPr>
            </w:pPr>
            <w:r w:rsidRPr="009A6161">
              <w:rPr>
                <w:rFonts w:ascii="Times New Roman" w:hAnsi="Times New Roman" w:cs="Times New Roman"/>
              </w:rPr>
              <w:t>тел.: 8-(8442)-49-39-39 доб.1</w:t>
            </w:r>
            <w:r w:rsidR="00B77B4E">
              <w:rPr>
                <w:rFonts w:ascii="Times New Roman" w:hAnsi="Times New Roman" w:cs="Times New Roman"/>
              </w:rPr>
              <w:t>1</w:t>
            </w:r>
            <w:r w:rsidRPr="009A6161">
              <w:rPr>
                <w:rFonts w:ascii="Times New Roman" w:hAnsi="Times New Roman" w:cs="Times New Roman"/>
              </w:rPr>
              <w:t>-</w:t>
            </w:r>
            <w:r w:rsidR="00B77B4E">
              <w:rPr>
                <w:rFonts w:ascii="Times New Roman" w:hAnsi="Times New Roman" w:cs="Times New Roman"/>
              </w:rPr>
              <w:t>35</w:t>
            </w:r>
            <w:r w:rsidRPr="009A6161">
              <w:rPr>
                <w:rFonts w:ascii="Times New Roman" w:hAnsi="Times New Roman" w:cs="Times New Roman"/>
              </w:rPr>
              <w:t>.</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931E73" w:rsidRPr="009A6161" w:rsidRDefault="009A6161" w:rsidP="009A6161">
            <w:pPr>
              <w:widowControl w:val="0"/>
              <w:jc w:val="both"/>
              <w:rPr>
                <w:rFonts w:ascii="Times New Roman" w:hAnsi="Times New Roman" w:cs="Times New Roman"/>
                <w:lang w:val="en-US"/>
              </w:rPr>
            </w:pPr>
            <w:r w:rsidRPr="009A6161">
              <w:rPr>
                <w:rFonts w:ascii="Times New Roman" w:hAnsi="Times New Roman" w:cs="Times New Roman"/>
              </w:rPr>
              <w:t xml:space="preserve">ООО «ВОЛМА-Оренбург», Оренбургская обл., </w:t>
            </w:r>
            <w:proofErr w:type="spellStart"/>
            <w:r w:rsidRPr="009A6161">
              <w:rPr>
                <w:rFonts w:ascii="Times New Roman" w:hAnsi="Times New Roman" w:cs="Times New Roman"/>
              </w:rPr>
              <w:t>Беляевский</w:t>
            </w:r>
            <w:proofErr w:type="spellEnd"/>
            <w:r w:rsidRPr="009A6161">
              <w:rPr>
                <w:rFonts w:ascii="Times New Roman" w:hAnsi="Times New Roman" w:cs="Times New Roman"/>
              </w:rPr>
              <w:t xml:space="preserve"> р-н, пос. Дубенский, ул. Заводская 1</w:t>
            </w: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873157" w:rsidRDefault="00873157" w:rsidP="00873157">
            <w:pPr>
              <w:suppressAutoHyphens/>
              <w:autoSpaceDE w:val="0"/>
              <w:spacing w:after="0"/>
              <w:jc w:val="both"/>
              <w:rPr>
                <w:rFonts w:ascii="Times New Roman" w:hAnsi="Times New Roman" w:cs="Times New Roman"/>
              </w:rPr>
            </w:pPr>
          </w:p>
          <w:p w:rsidR="00931E73" w:rsidRPr="00BE5AFC" w:rsidRDefault="00BE5AFC" w:rsidP="00BE5AFC">
            <w:pPr>
              <w:widowControl w:val="0"/>
              <w:ind w:right="-1"/>
              <w:jc w:val="both"/>
            </w:pPr>
            <w:r w:rsidRPr="00BE5AFC">
              <w:rPr>
                <w:rFonts w:ascii="Times New Roman" w:hAnsi="Times New Roman" w:cs="Times New Roman"/>
              </w:rPr>
              <w:t>Выполнение работ по «Стабилизации грунтов на территории предприятия ООО «ВОЛМА-Оренбург».</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9A6161" w:rsidRPr="005E0B8C" w:rsidRDefault="00592676" w:rsidP="009A6161">
            <w:pPr>
              <w:pStyle w:val="ConsNormal"/>
              <w:spacing w:line="276" w:lineRule="auto"/>
              <w:ind w:firstLine="0"/>
              <w:jc w:val="both"/>
            </w:pPr>
            <w:r w:rsidRPr="005E0B8C">
              <w:rPr>
                <w:rFonts w:eastAsia="Times New Roman"/>
                <w:b/>
              </w:rPr>
              <w:t xml:space="preserve">Место </w:t>
            </w:r>
            <w:r w:rsidR="006F5369" w:rsidRPr="005E0B8C">
              <w:rPr>
                <w:rFonts w:eastAsia="Times New Roman"/>
                <w:b/>
              </w:rPr>
              <w:t>выполнения работ</w:t>
            </w:r>
            <w:r w:rsidRPr="005E0B8C">
              <w:rPr>
                <w:rFonts w:eastAsia="Times New Roman"/>
              </w:rPr>
              <w:t>:</w:t>
            </w:r>
            <w:r w:rsidR="00DC416C" w:rsidRPr="005E0B8C">
              <w:rPr>
                <w:rFonts w:eastAsia="Times New Roman"/>
              </w:rPr>
              <w:t xml:space="preserve"> </w:t>
            </w:r>
            <w:r w:rsidR="009A6161" w:rsidRPr="005E0B8C">
              <w:t xml:space="preserve">Оренбургская обл., </w:t>
            </w:r>
            <w:proofErr w:type="spellStart"/>
            <w:r w:rsidR="009A6161" w:rsidRPr="005E0B8C">
              <w:t>Беляевский</w:t>
            </w:r>
            <w:proofErr w:type="spellEnd"/>
            <w:r w:rsidR="009A6161" w:rsidRPr="005E0B8C">
              <w:t xml:space="preserve"> район, пос. Дубенский, ул. Заводская 1</w:t>
            </w:r>
          </w:p>
          <w:p w:rsidR="00931E73" w:rsidRPr="005E0B8C" w:rsidRDefault="00986A19" w:rsidP="005E0B8C">
            <w:pPr>
              <w:autoSpaceDE w:val="0"/>
              <w:jc w:val="both"/>
              <w:rPr>
                <w:rFonts w:ascii="Times New Roman" w:hAnsi="Times New Roman" w:cs="Times New Roman"/>
                <w:b/>
                <w:i/>
              </w:rPr>
            </w:pPr>
            <w:r w:rsidRPr="005E0B8C">
              <w:rPr>
                <w:rFonts w:ascii="Times New Roman" w:eastAsia="Times New Roman" w:hAnsi="Times New Roman" w:cs="Times New Roman"/>
                <w:b/>
              </w:rPr>
              <w:t>С</w:t>
            </w:r>
            <w:r w:rsidR="00931E73" w:rsidRPr="005E0B8C">
              <w:rPr>
                <w:rFonts w:ascii="Times New Roman" w:eastAsia="Times New Roman" w:hAnsi="Times New Roman" w:cs="Times New Roman"/>
                <w:b/>
              </w:rPr>
              <w:t>рок</w:t>
            </w:r>
            <w:r w:rsidR="00575CFF" w:rsidRPr="005E0B8C">
              <w:rPr>
                <w:rFonts w:ascii="Times New Roman" w:eastAsia="Times New Roman" w:hAnsi="Times New Roman" w:cs="Times New Roman"/>
                <w:b/>
              </w:rPr>
              <w:t xml:space="preserve"> выполнения работ:</w:t>
            </w:r>
            <w:r w:rsidR="001B78B1" w:rsidRPr="005E0B8C">
              <w:rPr>
                <w:rFonts w:ascii="Times New Roman" w:eastAsia="Times New Roman" w:hAnsi="Times New Roman" w:cs="Times New Roman"/>
                <w:b/>
              </w:rPr>
              <w:t xml:space="preserve"> </w:t>
            </w:r>
            <w:r w:rsidR="00B62DBA">
              <w:rPr>
                <w:rFonts w:ascii="Times New Roman" w:hAnsi="Times New Roman" w:cs="Times New Roman"/>
                <w:b/>
                <w:i/>
              </w:rPr>
              <w:t>июнь 2020г.</w:t>
            </w:r>
          </w:p>
          <w:p w:rsidR="006D78C7" w:rsidRPr="005E0B8C" w:rsidRDefault="00BB3932" w:rsidP="00931E73">
            <w:pPr>
              <w:autoSpaceDE w:val="0"/>
              <w:spacing w:after="0"/>
              <w:jc w:val="both"/>
              <w:rPr>
                <w:rFonts w:ascii="Times New Roman" w:hAnsi="Times New Roman" w:cs="Times New Roman"/>
              </w:rPr>
            </w:pPr>
            <w:r w:rsidRPr="005E0B8C">
              <w:rPr>
                <w:rFonts w:ascii="Times New Roman" w:hAnsi="Times New Roman" w:cs="Times New Roman"/>
                <w:b/>
              </w:rPr>
              <w:t>Условия</w:t>
            </w:r>
            <w:r w:rsidR="00A80D9B" w:rsidRPr="005E0B8C">
              <w:rPr>
                <w:rFonts w:ascii="Times New Roman" w:hAnsi="Times New Roman" w:cs="Times New Roman"/>
                <w:b/>
              </w:rPr>
              <w:t xml:space="preserve"> </w:t>
            </w:r>
            <w:r w:rsidR="00575CFF" w:rsidRPr="005E0B8C">
              <w:rPr>
                <w:rFonts w:ascii="Times New Roman" w:hAnsi="Times New Roman" w:cs="Times New Roman"/>
                <w:b/>
              </w:rPr>
              <w:t>выполнения работ</w:t>
            </w:r>
            <w:r w:rsidRPr="005E0B8C">
              <w:rPr>
                <w:rFonts w:ascii="Times New Roman" w:hAnsi="Times New Roman" w:cs="Times New Roman"/>
                <w:b/>
              </w:rPr>
              <w:t>:</w:t>
            </w:r>
            <w:r w:rsidRPr="005E0B8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rsidTr="009A6161">
        <w:trPr>
          <w:trHeight w:val="55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F18E0" w:rsidRPr="004E054D" w:rsidRDefault="00FF18E0" w:rsidP="00873157">
            <w:pPr>
              <w:suppressAutoHyphens/>
              <w:spacing w:after="0"/>
              <w:jc w:val="both"/>
              <w:rPr>
                <w:rFonts w:ascii="Times New Roman" w:eastAsia="Calibri" w:hAnsi="Times New Roman" w:cs="Times New Roman"/>
                <w:b/>
                <w:lang w:eastAsia="ar-SA"/>
              </w:rPr>
            </w:pPr>
          </w:p>
          <w:p w:rsidR="00B215C0"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1B78B1" w:rsidRDefault="001B78B1" w:rsidP="001B78B1">
            <w:pPr>
              <w:suppressAutoHyphens/>
              <w:spacing w:after="0"/>
              <w:jc w:val="both"/>
              <w:rPr>
                <w:rFonts w:ascii="Times New Roman" w:eastAsia="Calibri" w:hAnsi="Times New Roman" w:cs="Times New Roman"/>
                <w:lang w:eastAsia="ar-SA"/>
              </w:rPr>
            </w:pPr>
            <w:r w:rsidRPr="001B78B1">
              <w:rPr>
                <w:rFonts w:ascii="Times New Roman" w:eastAsia="Calibri" w:hAnsi="Times New Roman" w:cs="Times New Roman"/>
                <w:b/>
                <w:lang w:eastAsia="ar-SA"/>
              </w:rPr>
              <w:t>Условия оплаты:</w:t>
            </w:r>
            <w:r>
              <w:rPr>
                <w:rFonts w:ascii="Times New Roman" w:eastAsia="Calibri" w:hAnsi="Times New Roman" w:cs="Times New Roman"/>
                <w:lang w:eastAsia="ar-SA"/>
              </w:rPr>
              <w:t xml:space="preserve"> предлагаются участником тендера и являются критерием оценки. </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F4" w:rsidRPr="00726DA8" w:rsidRDefault="00D252F4" w:rsidP="00604E63">
            <w:pPr>
              <w:widowControl w:val="0"/>
              <w:jc w:val="center"/>
              <w:rPr>
                <w:rFonts w:ascii="Times New Roman" w:hAnsi="Times New Roman" w:cs="Times New Roman"/>
                <w:b/>
              </w:rPr>
            </w:pPr>
          </w:p>
          <w:p w:rsidR="00414F58" w:rsidRPr="00726DA8" w:rsidRDefault="00414F58" w:rsidP="00604E63">
            <w:pPr>
              <w:widowControl w:val="0"/>
              <w:jc w:val="center"/>
              <w:rPr>
                <w:rFonts w:ascii="Times New Roman" w:hAnsi="Times New Roman" w:cs="Times New Roman"/>
                <w:b/>
              </w:rPr>
            </w:pPr>
          </w:p>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 xml:space="preserve">Требования к </w:t>
            </w:r>
            <w:r w:rsidRPr="00662B1A">
              <w:rPr>
                <w:rFonts w:ascii="Times New Roman" w:hAnsi="Times New Roman" w:cs="Times New Roman"/>
                <w:b/>
              </w:rPr>
              <w:lastRenderedPageBreak/>
              <w:t>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DC0" w:rsidRDefault="00A22DC0" w:rsidP="00873157">
            <w:pPr>
              <w:pStyle w:val="af6"/>
              <w:spacing w:line="276" w:lineRule="auto"/>
              <w:jc w:val="both"/>
              <w:rPr>
                <w:sz w:val="22"/>
                <w:szCs w:val="22"/>
              </w:rPr>
            </w:pPr>
          </w:p>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 xml:space="preserve">1. </w:t>
            </w:r>
            <w:proofErr w:type="spellStart"/>
            <w:r w:rsidRPr="00873157">
              <w:rPr>
                <w:sz w:val="22"/>
                <w:szCs w:val="22"/>
              </w:rPr>
              <w:t>Непроведение</w:t>
            </w:r>
            <w:proofErr w:type="spellEnd"/>
            <w:r w:rsidRPr="0087315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873157">
              <w:rPr>
                <w:sz w:val="22"/>
                <w:szCs w:val="22"/>
              </w:rPr>
              <w:lastRenderedPageBreak/>
              <w:t>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Default="00BB3932" w:rsidP="00873157">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p w:rsidR="00ED1C36" w:rsidRPr="00662B1A" w:rsidRDefault="00ED1C36" w:rsidP="00873157">
            <w:pPr>
              <w:pStyle w:val="af1"/>
              <w:widowControl w:val="0"/>
              <w:spacing w:before="240" w:after="0"/>
              <w:jc w:val="both"/>
              <w:rPr>
                <w:rFonts w:ascii="Times New Roman" w:hAnsi="Times New Roman" w:cs="Times New Roman"/>
              </w:rPr>
            </w:pP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D1C36" w:rsidRPr="009574F4" w:rsidRDefault="00ED1C36"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5E0B8C">
              <w:rPr>
                <w:rFonts w:ascii="Times New Roman" w:eastAsia="Times New Roman" w:hAnsi="Times New Roman" w:cs="Times New Roman"/>
                <w:b/>
                <w:lang w:eastAsia="ar-SA"/>
              </w:rPr>
              <w:t>1</w:t>
            </w:r>
            <w:r w:rsidR="00C0371F" w:rsidRPr="001B78B1">
              <w:rPr>
                <w:rFonts w:ascii="Times New Roman" w:eastAsia="Times New Roman" w:hAnsi="Times New Roman" w:cs="Times New Roman"/>
                <w:b/>
                <w:lang w:eastAsia="ar-SA"/>
              </w:rPr>
              <w:t>9</w:t>
            </w:r>
            <w:r w:rsidRPr="009574F4">
              <w:rPr>
                <w:rFonts w:ascii="Times New Roman" w:eastAsia="Times New Roman" w:hAnsi="Times New Roman" w:cs="Times New Roman"/>
                <w:b/>
                <w:lang w:eastAsia="ar-SA"/>
              </w:rPr>
              <w:t xml:space="preserve">» </w:t>
            </w:r>
            <w:r w:rsidR="005E0B8C">
              <w:rPr>
                <w:rFonts w:ascii="Times New Roman" w:eastAsia="Times New Roman" w:hAnsi="Times New Roman" w:cs="Times New Roman"/>
                <w:b/>
                <w:lang w:eastAsia="ar-SA"/>
              </w:rPr>
              <w:t xml:space="preserve">мая </w:t>
            </w:r>
            <w:r w:rsidR="00BE5AFC">
              <w:rPr>
                <w:rFonts w:ascii="Times New Roman" w:eastAsia="Times New Roman" w:hAnsi="Times New Roman" w:cs="Times New Roman"/>
                <w:b/>
                <w:lang w:val="en-US" w:eastAsia="ar-SA"/>
              </w:rPr>
              <w:t xml:space="preserve"> </w:t>
            </w:r>
            <w:r w:rsidRPr="009574F4">
              <w:rPr>
                <w:rFonts w:ascii="Times New Roman" w:eastAsia="Times New Roman" w:hAnsi="Times New Roman" w:cs="Times New Roman"/>
                <w:b/>
                <w:lang w:eastAsia="ar-SA"/>
              </w:rPr>
              <w:t>20</w:t>
            </w:r>
            <w:r w:rsidR="005E0B8C">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г.</w:t>
            </w:r>
            <w:r w:rsidR="00BE5AFC">
              <w:rPr>
                <w:rFonts w:ascii="Times New Roman" w:eastAsia="Times New Roman" w:hAnsi="Times New Roman" w:cs="Times New Roman"/>
                <w:b/>
                <w:lang w:val="en-US" w:eastAsia="ar-SA"/>
              </w:rPr>
              <w:t xml:space="preserve">  </w:t>
            </w:r>
            <w:r w:rsidR="009A6161">
              <w:rPr>
                <w:rFonts w:ascii="Times New Roman" w:eastAsia="Times New Roman" w:hAnsi="Times New Roman" w:cs="Times New Roman"/>
                <w:b/>
                <w:lang w:eastAsia="ar-SA"/>
              </w:rPr>
              <w:t>1</w:t>
            </w:r>
            <w:r w:rsidR="005E0B8C">
              <w:rPr>
                <w:rFonts w:ascii="Times New Roman" w:eastAsia="Times New Roman" w:hAnsi="Times New Roman" w:cs="Times New Roman"/>
                <w:b/>
                <w:lang w:eastAsia="ar-SA"/>
              </w:rPr>
              <w:t>2</w:t>
            </w:r>
            <w:r w:rsidR="002C5DE1" w:rsidRPr="009574F4">
              <w:rPr>
                <w:rFonts w:ascii="Times New Roman" w:eastAsia="Times New Roman" w:hAnsi="Times New Roman" w:cs="Times New Roman"/>
                <w:b/>
                <w:lang w:eastAsia="ar-SA"/>
              </w:rPr>
              <w:t xml:space="preserve">:00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B62DBA">
              <w:rPr>
                <w:rFonts w:ascii="Times New Roman" w:eastAsia="Times New Roman" w:hAnsi="Times New Roman" w:cs="Times New Roman"/>
                <w:b/>
                <w:lang w:eastAsia="ar-SA"/>
              </w:rPr>
              <w:t>01</w:t>
            </w:r>
            <w:r w:rsidRPr="009574F4">
              <w:rPr>
                <w:rFonts w:ascii="Times New Roman" w:eastAsia="Times New Roman" w:hAnsi="Times New Roman" w:cs="Times New Roman"/>
                <w:b/>
                <w:lang w:eastAsia="ar-SA"/>
              </w:rPr>
              <w:t xml:space="preserve">» </w:t>
            </w:r>
            <w:r w:rsidR="00B62DBA">
              <w:rPr>
                <w:rFonts w:ascii="Times New Roman" w:eastAsia="Times New Roman" w:hAnsi="Times New Roman" w:cs="Times New Roman"/>
                <w:b/>
                <w:lang w:eastAsia="ar-SA"/>
              </w:rPr>
              <w:t>июня</w:t>
            </w:r>
            <w:r w:rsidR="005E0B8C">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20</w:t>
            </w:r>
            <w:r w:rsidR="005E0B8C">
              <w:rPr>
                <w:rFonts w:ascii="Times New Roman" w:eastAsia="Times New Roman" w:hAnsi="Times New Roman" w:cs="Times New Roman"/>
                <w:b/>
                <w:lang w:eastAsia="ar-SA"/>
              </w:rPr>
              <w:t>20</w:t>
            </w:r>
            <w:r w:rsidR="002C5DE1" w:rsidRPr="009574F4">
              <w:rPr>
                <w:rFonts w:ascii="Times New Roman" w:eastAsia="Times New Roman" w:hAnsi="Times New Roman" w:cs="Times New Roman"/>
                <w:b/>
                <w:lang w:eastAsia="ar-SA"/>
              </w:rPr>
              <w:t>г. 1</w:t>
            </w:r>
            <w:r w:rsidR="00B62DBA">
              <w:rPr>
                <w:rFonts w:ascii="Times New Roman" w:eastAsia="Times New Roman" w:hAnsi="Times New Roman" w:cs="Times New Roman"/>
                <w:b/>
                <w:lang w:eastAsia="ar-SA"/>
              </w:rPr>
              <w:t>5</w:t>
            </w:r>
            <w:r w:rsidR="002C5DE1" w:rsidRPr="009574F4">
              <w:rPr>
                <w:rFonts w:ascii="Times New Roman" w:eastAsia="Times New Roman" w:hAnsi="Times New Roman" w:cs="Times New Roman"/>
                <w:b/>
                <w:lang w:eastAsia="ar-SA"/>
              </w:rPr>
              <w:t xml:space="preserve">:00 </w:t>
            </w:r>
          </w:p>
          <w:p w:rsidR="00A22DC0" w:rsidRPr="009574F4" w:rsidRDefault="00A22DC0" w:rsidP="009574F4">
            <w:pPr>
              <w:widowControl w:val="0"/>
              <w:suppressAutoHyphens/>
              <w:spacing w:after="0"/>
              <w:jc w:val="both"/>
              <w:rPr>
                <w:rFonts w:ascii="Times New Roman" w:eastAsia="Times New Roman" w:hAnsi="Times New Roman" w:cs="Times New Roman"/>
                <w:b/>
                <w:lang w:eastAsia="ar-SA"/>
              </w:rPr>
            </w:pPr>
          </w:p>
          <w:p w:rsidR="00DC416C" w:rsidRPr="009574F4" w:rsidRDefault="00986A19" w:rsidP="009574F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Д</w:t>
            </w:r>
            <w:r w:rsidR="00DC416C" w:rsidRPr="009574F4">
              <w:rPr>
                <w:rFonts w:ascii="Times New Roman" w:eastAsia="Times New Roman" w:hAnsi="Times New Roman" w:cs="Times New Roman"/>
                <w:b/>
                <w:lang w:eastAsia="ar-SA"/>
              </w:rPr>
              <w:t>ата и время вскрытия «конвер</w:t>
            </w:r>
            <w:bookmarkStart w:id="120" w:name="_GoBack"/>
            <w:bookmarkEnd w:id="120"/>
            <w:r w:rsidR="00DC416C" w:rsidRPr="009574F4">
              <w:rPr>
                <w:rFonts w:ascii="Times New Roman" w:eastAsia="Times New Roman" w:hAnsi="Times New Roman" w:cs="Times New Roman"/>
                <w:b/>
                <w:lang w:eastAsia="ar-SA"/>
              </w:rPr>
              <w:t>тов» (открытия доступа) к заявкам:</w:t>
            </w:r>
          </w:p>
          <w:p w:rsidR="00DC416C" w:rsidRPr="009574F4"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B62DBA">
              <w:rPr>
                <w:rFonts w:ascii="Times New Roman" w:eastAsia="Times New Roman" w:hAnsi="Times New Roman" w:cs="Times New Roman"/>
                <w:b/>
                <w:lang w:eastAsia="ar-SA"/>
              </w:rPr>
              <w:t>02</w:t>
            </w:r>
            <w:r w:rsidRPr="009574F4">
              <w:rPr>
                <w:rFonts w:ascii="Times New Roman" w:eastAsia="Times New Roman" w:hAnsi="Times New Roman" w:cs="Times New Roman"/>
                <w:b/>
                <w:lang w:eastAsia="ar-SA"/>
              </w:rPr>
              <w:t xml:space="preserve">» </w:t>
            </w:r>
            <w:r w:rsidR="005E0B8C">
              <w:rPr>
                <w:rFonts w:ascii="Times New Roman" w:eastAsia="Times New Roman" w:hAnsi="Times New Roman" w:cs="Times New Roman"/>
                <w:b/>
                <w:lang w:eastAsia="ar-SA"/>
              </w:rPr>
              <w:t>июня</w:t>
            </w:r>
            <w:r w:rsidR="00C0371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20</w:t>
            </w:r>
            <w:r w:rsidR="005E0B8C">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г. 1</w:t>
            </w:r>
            <w:r w:rsidR="00B62DBA">
              <w:rPr>
                <w:rFonts w:ascii="Times New Roman" w:eastAsia="Times New Roman" w:hAnsi="Times New Roman" w:cs="Times New Roman"/>
                <w:b/>
                <w:lang w:eastAsia="ar-SA"/>
              </w:rPr>
              <w:t>1</w:t>
            </w:r>
            <w:r w:rsidRPr="009574F4">
              <w:rPr>
                <w:rFonts w:ascii="Times New Roman" w:eastAsia="Times New Roman" w:hAnsi="Times New Roman" w:cs="Times New Roman"/>
                <w:b/>
                <w:lang w:eastAsia="ar-SA"/>
              </w:rPr>
              <w:t xml:space="preserve">:00 </w:t>
            </w: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5E0B8C">
              <w:rPr>
                <w:rFonts w:ascii="Times New Roman" w:hAnsi="Times New Roman" w:cs="Times New Roman"/>
                <w:b/>
              </w:rPr>
              <w:t>1</w:t>
            </w:r>
            <w:r w:rsidR="00C0371F">
              <w:rPr>
                <w:rFonts w:ascii="Times New Roman" w:hAnsi="Times New Roman" w:cs="Times New Roman"/>
                <w:b/>
              </w:rPr>
              <w:t>9</w:t>
            </w:r>
            <w:r w:rsidR="00280E18" w:rsidRPr="00662B1A">
              <w:rPr>
                <w:rFonts w:ascii="Times New Roman" w:hAnsi="Times New Roman" w:cs="Times New Roman"/>
                <w:b/>
              </w:rPr>
              <w:t xml:space="preserve">» </w:t>
            </w:r>
            <w:r w:rsidR="005E0B8C">
              <w:rPr>
                <w:rFonts w:ascii="Times New Roman" w:hAnsi="Times New Roman" w:cs="Times New Roman"/>
                <w:b/>
              </w:rPr>
              <w:t>мая</w:t>
            </w:r>
            <w:r w:rsidR="00717294">
              <w:rPr>
                <w:rFonts w:ascii="Times New Roman" w:hAnsi="Times New Roman" w:cs="Times New Roman"/>
                <w:b/>
              </w:rPr>
              <w:t xml:space="preserve"> </w:t>
            </w:r>
            <w:r w:rsidR="00280E18" w:rsidRPr="00662B1A">
              <w:rPr>
                <w:rFonts w:ascii="Times New Roman" w:hAnsi="Times New Roman" w:cs="Times New Roman"/>
                <w:b/>
              </w:rPr>
              <w:t xml:space="preserve"> </w:t>
            </w:r>
            <w:r w:rsidRPr="00662B1A">
              <w:rPr>
                <w:rFonts w:ascii="Times New Roman" w:hAnsi="Times New Roman" w:cs="Times New Roman"/>
                <w:b/>
              </w:rPr>
              <w:t>20</w:t>
            </w:r>
            <w:r w:rsidR="005E0B8C">
              <w:rPr>
                <w:rFonts w:ascii="Times New Roman" w:hAnsi="Times New Roman" w:cs="Times New Roman"/>
                <w:b/>
              </w:rPr>
              <w:t xml:space="preserve">20 </w:t>
            </w:r>
            <w:r w:rsidRPr="00662B1A">
              <w:rPr>
                <w:rFonts w:ascii="Times New Roman" w:hAnsi="Times New Roman" w:cs="Times New Roman"/>
                <w:b/>
              </w:rPr>
              <w:t xml:space="preserve">г.   по  </w:t>
            </w:r>
            <w:r w:rsidR="00DC416C">
              <w:rPr>
                <w:rFonts w:ascii="Times New Roman" w:hAnsi="Times New Roman" w:cs="Times New Roman"/>
                <w:b/>
              </w:rPr>
              <w:t>«</w:t>
            </w:r>
            <w:r w:rsidR="00B62DBA">
              <w:rPr>
                <w:rFonts w:ascii="Times New Roman" w:hAnsi="Times New Roman" w:cs="Times New Roman"/>
                <w:b/>
              </w:rPr>
              <w:t>01</w:t>
            </w:r>
            <w:r w:rsidR="00280E18" w:rsidRPr="00662B1A">
              <w:rPr>
                <w:rFonts w:ascii="Times New Roman" w:hAnsi="Times New Roman" w:cs="Times New Roman"/>
                <w:b/>
              </w:rPr>
              <w:t xml:space="preserve">» </w:t>
            </w:r>
            <w:r w:rsidR="00B62DBA">
              <w:rPr>
                <w:rFonts w:ascii="Times New Roman" w:hAnsi="Times New Roman" w:cs="Times New Roman"/>
                <w:b/>
              </w:rPr>
              <w:t xml:space="preserve">июня </w:t>
            </w:r>
            <w:r w:rsidRPr="00662B1A">
              <w:rPr>
                <w:rFonts w:ascii="Times New Roman" w:hAnsi="Times New Roman" w:cs="Times New Roman"/>
                <w:b/>
              </w:rPr>
              <w:t>20</w:t>
            </w:r>
            <w:r w:rsidR="005E0B8C">
              <w:rPr>
                <w:rFonts w:ascii="Times New Roman" w:hAnsi="Times New Roman" w:cs="Times New Roman"/>
                <w:b/>
              </w:rPr>
              <w:t xml:space="preserve">20 </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986A19" w:rsidP="00DC416C">
            <w:pPr>
              <w:widowControl w:val="0"/>
              <w:spacing w:after="0" w:line="240" w:lineRule="auto"/>
              <w:jc w:val="both"/>
              <w:rPr>
                <w:rFonts w:ascii="Times New Roman" w:hAnsi="Times New Roman" w:cs="Times New Roman"/>
              </w:rPr>
            </w:pPr>
            <w:r>
              <w:rPr>
                <w:rFonts w:ascii="Times New Roman" w:hAnsi="Times New Roman" w:cs="Times New Roman"/>
                <w:b/>
                <w:snapToGrid w:val="0"/>
              </w:rPr>
              <w:t>Ориентировочные д</w:t>
            </w:r>
            <w:r w:rsidR="00DC416C" w:rsidRPr="00DC416C">
              <w:rPr>
                <w:rFonts w:ascii="Times New Roman" w:hAnsi="Times New Roman" w:cs="Times New Roman"/>
                <w:b/>
                <w:snapToGrid w:val="0"/>
              </w:rPr>
              <w:t>ата и время подведения итогов тендера</w:t>
            </w:r>
            <w:r w:rsidR="00DC416C"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B62DBA">
              <w:rPr>
                <w:rFonts w:ascii="Times New Roman" w:hAnsi="Times New Roman" w:cs="Times New Roman"/>
                <w:b/>
              </w:rPr>
              <w:t>08</w:t>
            </w:r>
            <w:r w:rsidRPr="00DC416C">
              <w:rPr>
                <w:rFonts w:ascii="Times New Roman" w:hAnsi="Times New Roman" w:cs="Times New Roman"/>
                <w:b/>
              </w:rPr>
              <w:t>»</w:t>
            </w:r>
            <w:r w:rsidR="002C5DE1">
              <w:rPr>
                <w:rFonts w:ascii="Times New Roman" w:hAnsi="Times New Roman" w:cs="Times New Roman"/>
                <w:b/>
              </w:rPr>
              <w:t xml:space="preserve"> </w:t>
            </w:r>
            <w:r w:rsidR="005E0B8C">
              <w:rPr>
                <w:rFonts w:ascii="Times New Roman" w:hAnsi="Times New Roman" w:cs="Times New Roman"/>
                <w:b/>
              </w:rPr>
              <w:t>июня</w:t>
            </w:r>
            <w:r w:rsidR="002C5DE1">
              <w:rPr>
                <w:rFonts w:ascii="Times New Roman" w:hAnsi="Times New Roman" w:cs="Times New Roman"/>
                <w:b/>
              </w:rPr>
              <w:t xml:space="preserve"> </w:t>
            </w:r>
            <w:r w:rsidRPr="00DC416C">
              <w:rPr>
                <w:rFonts w:ascii="Times New Roman" w:hAnsi="Times New Roman" w:cs="Times New Roman"/>
                <w:b/>
              </w:rPr>
              <w:t xml:space="preserve"> 20</w:t>
            </w:r>
            <w:r w:rsidR="005E0B8C">
              <w:rPr>
                <w:rFonts w:ascii="Times New Roman" w:hAnsi="Times New Roman" w:cs="Times New Roman"/>
                <w:b/>
              </w:rPr>
              <w:t>20</w:t>
            </w:r>
            <w:r w:rsidR="002C5DE1">
              <w:rPr>
                <w:rFonts w:ascii="Times New Roman" w:hAnsi="Times New Roman" w:cs="Times New Roman"/>
                <w:b/>
              </w:rPr>
              <w:t xml:space="preserve">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414F58" w:rsidRDefault="00BB3932" w:rsidP="00A834B8">
            <w:pP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62DBA" w:rsidRDefault="00B62DBA"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p>
          <w:p w:rsidR="00B62DBA" w:rsidRDefault="00B62DBA"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lastRenderedPageBreak/>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A22DC0" w:rsidRPr="00662B1A" w:rsidRDefault="00A22DC0"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w:t>
            </w:r>
          </w:p>
          <w:p w:rsidR="005B0AFD" w:rsidRPr="00662B1A" w:rsidRDefault="005B0AFD" w:rsidP="006E326C">
            <w:pPr>
              <w:widowControl w:val="0"/>
              <w:spacing w:after="0" w:line="240" w:lineRule="auto"/>
              <w:ind w:left="433"/>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r w:rsidRPr="00662B1A">
        <w:rPr>
          <w:rFonts w:ascii="Times New Roman" w:eastAsiaTheme="minorHAnsi" w:hAnsi="Times New Roman" w:cs="Times New Roman"/>
          <w:b/>
          <w:bCs/>
          <w:lang w:eastAsia="en-US"/>
        </w:rPr>
        <w:t>ОПИСЬ ДОКУМЕНТОВ,</w:t>
      </w:r>
      <w:bookmarkEnd w:id="121"/>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7C0989" w:rsidP="007C0989">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bCs/>
              </w:rPr>
              <w:t>Л</w:t>
            </w:r>
            <w:r w:rsidR="00BF159F" w:rsidRPr="00ED1C36">
              <w:rPr>
                <w:rFonts w:ascii="Times New Roman" w:eastAsia="Times New Roman" w:hAnsi="Times New Roman" w:cs="Times New Roman"/>
                <w:bCs/>
              </w:rPr>
              <w:t>окально-сметны</w:t>
            </w:r>
            <w:r w:rsidR="00B25400">
              <w:rPr>
                <w:rFonts w:ascii="Times New Roman" w:eastAsia="Times New Roman" w:hAnsi="Times New Roman" w:cs="Times New Roman"/>
                <w:bCs/>
              </w:rPr>
              <w:t>й</w:t>
            </w:r>
            <w:r w:rsidR="00BF159F"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w:t>
            </w:r>
            <w:r w:rsidR="00BF159F">
              <w:rPr>
                <w:rFonts w:ascii="Times New Roman" w:eastAsia="Times New Roman" w:hAnsi="Times New Roman" w:cs="Times New Roman"/>
                <w:bCs/>
              </w:rPr>
              <w:t xml:space="preserve"> </w:t>
            </w:r>
            <w:r>
              <w:rPr>
                <w:rFonts w:ascii="Times New Roman" w:eastAsia="Times New Roman" w:hAnsi="Times New Roman" w:cs="Times New Roman"/>
                <w:bCs/>
              </w:rPr>
              <w:t xml:space="preserve">составленный </w:t>
            </w:r>
            <w:r w:rsidR="00BF159F" w:rsidRPr="00ED1C36">
              <w:rPr>
                <w:rFonts w:ascii="Times New Roman" w:eastAsia="Times New Roman" w:hAnsi="Times New Roman" w:cs="Times New Roman"/>
                <w:bCs/>
              </w:rPr>
              <w:t xml:space="preserve">согласно </w:t>
            </w:r>
            <w:r w:rsidR="009C16AF">
              <w:rPr>
                <w:rFonts w:ascii="Times New Roman" w:eastAsia="Times New Roman" w:hAnsi="Times New Roman" w:cs="Times New Roman"/>
                <w:bCs/>
              </w:rPr>
              <w:t>т</w:t>
            </w:r>
            <w:r w:rsidR="00BF159F" w:rsidRPr="00ED1C36">
              <w:rPr>
                <w:rFonts w:ascii="Times New Roman" w:eastAsia="Times New Roman" w:hAnsi="Times New Roman" w:cs="Times New Roman"/>
                <w:bCs/>
              </w:rPr>
              <w:t xml:space="preserve">ребованиям </w:t>
            </w:r>
            <w:r w:rsidR="009C16AF">
              <w:rPr>
                <w:rFonts w:ascii="Times New Roman" w:eastAsia="Times New Roman" w:hAnsi="Times New Roman" w:cs="Times New Roman"/>
                <w:bCs/>
              </w:rPr>
              <w:t xml:space="preserve">указанным в </w:t>
            </w:r>
            <w:r w:rsidR="00445450">
              <w:rPr>
                <w:rFonts w:ascii="Times New Roman" w:eastAsia="Times New Roman" w:hAnsi="Times New Roman" w:cs="Times New Roman"/>
                <w:bCs/>
              </w:rPr>
              <w:t>Т</w:t>
            </w:r>
            <w:r w:rsidR="009C16AF">
              <w:rPr>
                <w:rFonts w:ascii="Times New Roman" w:eastAsia="Times New Roman" w:hAnsi="Times New Roman" w:cs="Times New Roman"/>
                <w:bCs/>
              </w:rPr>
              <w:t>ехническом задании.</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662B1A" w:rsidRDefault="00A8412C" w:rsidP="00806549">
            <w:pPr>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923"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5528"/>
        <w:gridCol w:w="1134"/>
        <w:gridCol w:w="1630"/>
        <w:gridCol w:w="1134"/>
      </w:tblGrid>
      <w:tr w:rsidR="00717294" w:rsidRPr="006354AE" w:rsidTr="00B62DBA">
        <w:trPr>
          <w:trHeight w:val="545"/>
          <w:tblHeader/>
          <w:jc w:val="center"/>
        </w:trPr>
        <w:tc>
          <w:tcPr>
            <w:tcW w:w="497"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5528"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13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63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13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7C0989" w:rsidRPr="006354AE" w:rsidTr="00B62DBA">
        <w:trPr>
          <w:trHeight w:val="728"/>
          <w:jc w:val="center"/>
        </w:trPr>
        <w:tc>
          <w:tcPr>
            <w:tcW w:w="497" w:type="dxa"/>
            <w:vMerge w:val="restart"/>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5528" w:type="dxa"/>
            <w:vAlign w:val="center"/>
          </w:tcPr>
          <w:p w:rsidR="007C0989" w:rsidRPr="00F0292C" w:rsidRDefault="007C0989" w:rsidP="007C0989">
            <w:pPr>
              <w:widowControl w:val="0"/>
              <w:autoSpaceDE w:val="0"/>
              <w:autoSpaceDN w:val="0"/>
              <w:adjustRightInd w:val="0"/>
              <w:spacing w:after="0"/>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 xml:space="preserve">Общая стоимость договора, без учета НДС / с учетом НДС, в </w:t>
            </w:r>
            <w:proofErr w:type="spellStart"/>
            <w:r w:rsidRPr="00F0292C">
              <w:rPr>
                <w:rFonts w:ascii="Times New Roman" w:eastAsiaTheme="minorHAnsi" w:hAnsi="Times New Roman" w:cs="Times New Roman"/>
                <w:lang w:eastAsia="en-US"/>
              </w:rPr>
              <w:t>т.ч</w:t>
            </w:r>
            <w:proofErr w:type="spellEnd"/>
            <w:r w:rsidRPr="00F0292C">
              <w:rPr>
                <w:rFonts w:ascii="Times New Roman" w:eastAsiaTheme="minorHAnsi" w:hAnsi="Times New Roman" w:cs="Times New Roman"/>
                <w:lang w:eastAsia="en-US"/>
              </w:rPr>
              <w:t>.</w:t>
            </w:r>
          </w:p>
        </w:tc>
        <w:tc>
          <w:tcPr>
            <w:tcW w:w="1134" w:type="dxa"/>
            <w:vMerge w:val="restart"/>
            <w:vAlign w:val="center"/>
          </w:tcPr>
          <w:p w:rsidR="007C0989" w:rsidRPr="00F0292C" w:rsidRDefault="007C0989" w:rsidP="00BF159F">
            <w:pPr>
              <w:jc w:val="center"/>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Руб.</w:t>
            </w:r>
          </w:p>
        </w:tc>
        <w:tc>
          <w:tcPr>
            <w:tcW w:w="1630" w:type="dxa"/>
            <w:vAlign w:val="center"/>
          </w:tcPr>
          <w:p w:rsidR="007C0989" w:rsidRPr="00F0292C"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7C0989" w:rsidRPr="00F0292C"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C0989" w:rsidRPr="006354AE" w:rsidTr="00B62DBA">
        <w:trPr>
          <w:trHeight w:val="702"/>
          <w:jc w:val="center"/>
        </w:trPr>
        <w:tc>
          <w:tcPr>
            <w:tcW w:w="497" w:type="dxa"/>
            <w:vMerge/>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5528" w:type="dxa"/>
            <w:vAlign w:val="center"/>
          </w:tcPr>
          <w:p w:rsidR="00F0292C" w:rsidRDefault="005E0B8C" w:rsidP="005E0B8C">
            <w:pPr>
              <w:widowControl w:val="0"/>
              <w:autoSpaceDE w:val="0"/>
              <w:autoSpaceDN w:val="0"/>
              <w:adjustRightInd w:val="0"/>
              <w:spacing w:after="0"/>
              <w:rPr>
                <w:rFonts w:ascii="Times New Roman" w:eastAsiaTheme="minorHAnsi" w:hAnsi="Times New Roman" w:cs="Times New Roman"/>
                <w:lang w:eastAsia="en-US"/>
              </w:rPr>
            </w:pPr>
            <w:r w:rsidRPr="00F0292C">
              <w:rPr>
                <w:rFonts w:ascii="Times New Roman" w:eastAsia="Times New Roman" w:hAnsi="Times New Roman" w:cs="Times New Roman"/>
                <w:lang w:bidi="ru-RU"/>
              </w:rPr>
              <w:t>Стоимость работ по  усилению  грунтов обратной засыпки пазух и фундаментов колонн</w:t>
            </w:r>
            <w:r w:rsidRPr="00F0292C">
              <w:rPr>
                <w:rFonts w:ascii="Times New Roman" w:eastAsiaTheme="minorHAnsi" w:hAnsi="Times New Roman" w:cs="Times New Roman"/>
                <w:lang w:eastAsia="en-US"/>
              </w:rPr>
              <w:t xml:space="preserve"> </w:t>
            </w:r>
          </w:p>
          <w:p w:rsidR="007C0989" w:rsidRPr="00F0292C" w:rsidRDefault="005E0B8C" w:rsidP="005E0B8C">
            <w:pPr>
              <w:widowControl w:val="0"/>
              <w:autoSpaceDE w:val="0"/>
              <w:autoSpaceDN w:val="0"/>
              <w:adjustRightInd w:val="0"/>
              <w:spacing w:after="0"/>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без учета / с учетом НДС</w:t>
            </w:r>
          </w:p>
        </w:tc>
        <w:tc>
          <w:tcPr>
            <w:tcW w:w="1134" w:type="dxa"/>
            <w:vMerge/>
            <w:vAlign w:val="center"/>
          </w:tcPr>
          <w:p w:rsidR="007C0989" w:rsidRPr="00F0292C" w:rsidRDefault="007C0989" w:rsidP="00BF159F">
            <w:pPr>
              <w:jc w:val="center"/>
              <w:rPr>
                <w:rFonts w:ascii="Times New Roman" w:eastAsiaTheme="minorHAnsi" w:hAnsi="Times New Roman" w:cs="Times New Roman"/>
                <w:lang w:eastAsia="en-US"/>
              </w:rPr>
            </w:pPr>
          </w:p>
        </w:tc>
        <w:tc>
          <w:tcPr>
            <w:tcW w:w="1630" w:type="dxa"/>
            <w:vAlign w:val="center"/>
          </w:tcPr>
          <w:p w:rsidR="007C0989" w:rsidRPr="00F0292C"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7C0989" w:rsidRPr="00F0292C"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C0989" w:rsidRPr="006354AE" w:rsidTr="00B62DBA">
        <w:trPr>
          <w:trHeight w:val="712"/>
          <w:jc w:val="center"/>
        </w:trPr>
        <w:tc>
          <w:tcPr>
            <w:tcW w:w="497" w:type="dxa"/>
            <w:vMerge/>
            <w:vAlign w:val="center"/>
          </w:tcPr>
          <w:p w:rsidR="007C0989" w:rsidRPr="006354AE"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5528" w:type="dxa"/>
            <w:vAlign w:val="center"/>
          </w:tcPr>
          <w:p w:rsidR="007C0989" w:rsidRPr="00F0292C" w:rsidRDefault="007C0989" w:rsidP="005E0B8C">
            <w:pPr>
              <w:widowControl w:val="0"/>
              <w:autoSpaceDE w:val="0"/>
              <w:autoSpaceDN w:val="0"/>
              <w:adjustRightInd w:val="0"/>
              <w:spacing w:after="0"/>
              <w:rPr>
                <w:rFonts w:ascii="Times New Roman" w:hAnsi="Times New Roman" w:cs="Times New Roman"/>
              </w:rPr>
            </w:pPr>
            <w:r w:rsidRPr="00F0292C">
              <w:rPr>
                <w:rFonts w:ascii="Times New Roman" w:eastAsiaTheme="minorHAnsi" w:hAnsi="Times New Roman" w:cs="Times New Roman"/>
                <w:lang w:eastAsia="en-US"/>
              </w:rPr>
              <w:t xml:space="preserve">Стоимость </w:t>
            </w:r>
            <w:r w:rsidR="005E0B8C" w:rsidRPr="00F0292C">
              <w:rPr>
                <w:rFonts w:ascii="Times New Roman" w:eastAsiaTheme="minorHAnsi" w:hAnsi="Times New Roman" w:cs="Times New Roman"/>
                <w:lang w:eastAsia="en-US"/>
              </w:rPr>
              <w:t>работ по з</w:t>
            </w:r>
            <w:r w:rsidR="005E0B8C" w:rsidRPr="00F0292C">
              <w:rPr>
                <w:rFonts w:ascii="Times New Roman" w:hAnsi="Times New Roman" w:cs="Times New Roman"/>
              </w:rPr>
              <w:t xml:space="preserve">аполнению пустот под полами в цехах (ПГ и ССС)  </w:t>
            </w:r>
            <w:r w:rsidRPr="00F0292C">
              <w:rPr>
                <w:rFonts w:ascii="Times New Roman" w:eastAsiaTheme="minorHAnsi" w:hAnsi="Times New Roman" w:cs="Times New Roman"/>
                <w:lang w:eastAsia="en-US"/>
              </w:rPr>
              <w:t>без учета / с учетом НДС</w:t>
            </w:r>
          </w:p>
        </w:tc>
        <w:tc>
          <w:tcPr>
            <w:tcW w:w="1134" w:type="dxa"/>
            <w:vMerge/>
            <w:vAlign w:val="center"/>
          </w:tcPr>
          <w:p w:rsidR="007C0989" w:rsidRPr="00F0292C" w:rsidRDefault="007C0989" w:rsidP="00BF159F">
            <w:pPr>
              <w:jc w:val="center"/>
              <w:rPr>
                <w:rFonts w:ascii="Times New Roman" w:eastAsiaTheme="minorHAnsi" w:hAnsi="Times New Roman" w:cs="Times New Roman"/>
                <w:lang w:eastAsia="en-US"/>
              </w:rPr>
            </w:pPr>
          </w:p>
        </w:tc>
        <w:tc>
          <w:tcPr>
            <w:tcW w:w="1630" w:type="dxa"/>
            <w:vAlign w:val="center"/>
          </w:tcPr>
          <w:p w:rsidR="007C0989" w:rsidRPr="00F0292C" w:rsidRDefault="007C0989"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7C0989" w:rsidRPr="00F0292C" w:rsidRDefault="007C0989"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B62DBA">
        <w:trPr>
          <w:trHeight w:val="659"/>
          <w:jc w:val="center"/>
        </w:trPr>
        <w:tc>
          <w:tcPr>
            <w:tcW w:w="497"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5528" w:type="dxa"/>
            <w:vAlign w:val="center"/>
          </w:tcPr>
          <w:p w:rsidR="00717294" w:rsidRPr="00F0292C" w:rsidRDefault="00717294" w:rsidP="007C0989">
            <w:pPr>
              <w:widowControl w:val="0"/>
              <w:autoSpaceDE w:val="0"/>
              <w:autoSpaceDN w:val="0"/>
              <w:adjustRightInd w:val="0"/>
              <w:spacing w:after="0"/>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Квалификация участника</w:t>
            </w:r>
          </w:p>
        </w:tc>
        <w:tc>
          <w:tcPr>
            <w:tcW w:w="1134" w:type="dxa"/>
            <w:vAlign w:val="center"/>
          </w:tcPr>
          <w:p w:rsidR="00717294" w:rsidRPr="00F0292C"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 xml:space="preserve"> </w:t>
            </w:r>
            <w:r w:rsidR="00717294" w:rsidRPr="00F0292C">
              <w:rPr>
                <w:rFonts w:ascii="Times New Roman" w:eastAsiaTheme="minorHAnsi" w:hAnsi="Times New Roman" w:cs="Times New Roman"/>
                <w:lang w:eastAsia="en-US"/>
              </w:rPr>
              <w:t>(кол-во листов)</w:t>
            </w:r>
          </w:p>
        </w:tc>
        <w:tc>
          <w:tcPr>
            <w:tcW w:w="1630" w:type="dxa"/>
            <w:vAlign w:val="center"/>
          </w:tcPr>
          <w:p w:rsidR="00717294" w:rsidRPr="00F0292C"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717294" w:rsidRPr="00F0292C"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По форме 4</w:t>
            </w:r>
          </w:p>
        </w:tc>
      </w:tr>
      <w:tr w:rsidR="00717294" w:rsidRPr="006354AE" w:rsidTr="00B62DBA">
        <w:trPr>
          <w:trHeight w:val="781"/>
          <w:jc w:val="center"/>
        </w:trPr>
        <w:tc>
          <w:tcPr>
            <w:tcW w:w="497"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5528" w:type="dxa"/>
            <w:vAlign w:val="center"/>
          </w:tcPr>
          <w:p w:rsidR="00717294" w:rsidRPr="00F0292C" w:rsidRDefault="00717294" w:rsidP="007C0989">
            <w:pPr>
              <w:widowControl w:val="0"/>
              <w:autoSpaceDE w:val="0"/>
              <w:autoSpaceDN w:val="0"/>
              <w:adjustRightInd w:val="0"/>
              <w:spacing w:after="0"/>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Условия оплаты (отсрочка платежа)</w:t>
            </w:r>
          </w:p>
        </w:tc>
        <w:tc>
          <w:tcPr>
            <w:tcW w:w="1134" w:type="dxa"/>
            <w:vAlign w:val="center"/>
          </w:tcPr>
          <w:p w:rsidR="00717294" w:rsidRPr="00F0292C"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F0292C">
              <w:rPr>
                <w:rFonts w:ascii="Times New Roman" w:eastAsiaTheme="minorHAnsi" w:hAnsi="Times New Roman" w:cs="Times New Roman"/>
                <w:lang w:eastAsia="en-US"/>
              </w:rPr>
              <w:t>дни</w:t>
            </w:r>
          </w:p>
        </w:tc>
        <w:tc>
          <w:tcPr>
            <w:tcW w:w="1630" w:type="dxa"/>
            <w:vAlign w:val="center"/>
          </w:tcPr>
          <w:p w:rsidR="00717294" w:rsidRPr="00F0292C"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717294" w:rsidRPr="00F0292C"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662B1A">
        <w:rPr>
          <w:rFonts w:ascii="Times New Roman" w:eastAsiaTheme="minorHAnsi" w:hAnsi="Times New Roman" w:cs="Times New Roman"/>
          <w:lang w:eastAsia="en-US"/>
        </w:rPr>
        <w:t>аффилированности</w:t>
      </w:r>
      <w:proofErr w:type="spell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w:t>
      </w:r>
      <w:proofErr w:type="spellStart"/>
      <w:r w:rsidRPr="00662B1A">
        <w:rPr>
          <w:rFonts w:ascii="Times New Roman" w:eastAsia="Times New Roman" w:hAnsi="Times New Roman" w:cs="Times New Roman"/>
        </w:rPr>
        <w:t>mail</w:t>
      </w:r>
      <w:proofErr w:type="spellEnd"/>
      <w:r w:rsidRPr="00662B1A">
        <w:rPr>
          <w:rFonts w:ascii="Times New Roman" w:eastAsia="Times New Roman" w:hAnsi="Times New Roman" w:cs="Times New Roman"/>
        </w:rPr>
        <w:t xml:space="preserve">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9C4CA1">
      <w:pPr>
        <w:widowControl w:val="0"/>
        <w:spacing w:after="0"/>
        <w:ind w:right="180"/>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717294" w:rsidRDefault="007C0989" w:rsidP="007C0989">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w:t>
      </w:r>
      <w:r w:rsidRPr="00A56239">
        <w:rPr>
          <w:rFonts w:ascii="Times New Roman" w:eastAsiaTheme="minorHAnsi" w:hAnsi="Times New Roman" w:cs="Times New Roman"/>
          <w:b/>
          <w:i/>
          <w:lang w:eastAsia="en-US"/>
        </w:rPr>
        <w:t xml:space="preserve"> Участник в свободной форме приводит свое Техническое предложение, в соответствии с тр</w:t>
      </w:r>
      <w:r>
        <w:rPr>
          <w:rFonts w:ascii="Times New Roman" w:eastAsiaTheme="minorHAnsi" w:hAnsi="Times New Roman" w:cs="Times New Roman"/>
          <w:b/>
          <w:i/>
          <w:lang w:eastAsia="en-US"/>
        </w:rPr>
        <w:t>ебованиями Технического задания с приложением локально-сметного расчета.</w:t>
      </w:r>
    </w:p>
    <w:p w:rsidR="00717294" w:rsidRDefault="00717294" w:rsidP="00717294">
      <w:pPr>
        <w:widowControl w:val="0"/>
        <w:spacing w:after="0"/>
        <w:ind w:right="22"/>
        <w:jc w:val="both"/>
        <w:rPr>
          <w:rFonts w:ascii="Times New Roman" w:eastAsiaTheme="minorHAnsi" w:hAnsi="Times New Roman" w:cs="Times New Roman"/>
          <w:lang w:eastAsia="en-US"/>
        </w:rPr>
      </w:pPr>
    </w:p>
    <w:p w:rsidR="007C0989" w:rsidRDefault="007C0989" w:rsidP="00717294">
      <w:pPr>
        <w:widowControl w:val="0"/>
        <w:spacing w:after="0"/>
        <w:ind w:right="22"/>
        <w:jc w:val="both"/>
        <w:rPr>
          <w:rFonts w:ascii="Times New Roman" w:eastAsiaTheme="minorHAnsi" w:hAnsi="Times New Roman" w:cs="Times New Roman"/>
          <w:lang w:eastAsia="en-US"/>
        </w:rPr>
      </w:pPr>
    </w:p>
    <w:p w:rsidR="007C0989" w:rsidRPr="00662B1A" w:rsidRDefault="007C0989"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FD0D0C">
      <w:pPr>
        <w:widowControl w:val="0"/>
        <w:spacing w:after="0"/>
        <w:ind w:right="18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FD0D0C">
      <w:pPr>
        <w:widowControl w:val="0"/>
        <w:spacing w:after="0"/>
        <w:ind w:right="180"/>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эл.почты</w:t>
            </w:r>
            <w:proofErr w:type="spellEnd"/>
            <w:r w:rsidRPr="00662B1A">
              <w:rPr>
                <w:rFonts w:ascii="Times New Roman" w:eastAsia="Times New Roman" w:hAnsi="Times New Roman" w:cs="Times New Roman"/>
              </w:rPr>
              <w:t>.</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2"/>
      <w:bookmarkEnd w:id="123"/>
      <w:bookmarkEnd w:id="124"/>
      <w:bookmarkEnd w:id="125"/>
      <w:bookmarkEnd w:id="126"/>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BA" w:rsidRDefault="00B62DBA" w:rsidP="00B4269E">
      <w:pPr>
        <w:spacing w:after="0" w:line="240" w:lineRule="auto"/>
      </w:pPr>
      <w:r>
        <w:separator/>
      </w:r>
    </w:p>
  </w:endnote>
  <w:endnote w:type="continuationSeparator" w:id="0">
    <w:p w:rsidR="00B62DBA" w:rsidRDefault="00B62DB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B62DBA" w:rsidRPr="00AF333E" w:rsidRDefault="00B62DB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E5AFC">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BA" w:rsidRDefault="00B62DBA" w:rsidP="00B4269E">
      <w:pPr>
        <w:spacing w:after="0" w:line="240" w:lineRule="auto"/>
      </w:pPr>
      <w:r>
        <w:separator/>
      </w:r>
    </w:p>
  </w:footnote>
  <w:footnote w:type="continuationSeparator" w:id="0">
    <w:p w:rsidR="00B62DBA" w:rsidRDefault="00B62DB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CB5160"/>
    <w:multiLevelType w:val="hybridMultilevel"/>
    <w:tmpl w:val="28489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3"/>
  </w:num>
  <w:num w:numId="24">
    <w:abstractNumId w:val="39"/>
  </w:num>
  <w:num w:numId="25">
    <w:abstractNumId w:val="30"/>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8B1"/>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45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54D"/>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B8C"/>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BE3"/>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0989"/>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6A19"/>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61"/>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16AF"/>
    <w:rsid w:val="009C29AF"/>
    <w:rsid w:val="009C2BB8"/>
    <w:rsid w:val="009C3D69"/>
    <w:rsid w:val="009C3DB0"/>
    <w:rsid w:val="009C3FFE"/>
    <w:rsid w:val="009C47D6"/>
    <w:rsid w:val="009C4CA1"/>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DBA"/>
    <w:rsid w:val="00B62F43"/>
    <w:rsid w:val="00B65657"/>
    <w:rsid w:val="00B65ECD"/>
    <w:rsid w:val="00B65EF6"/>
    <w:rsid w:val="00B66B91"/>
    <w:rsid w:val="00B70140"/>
    <w:rsid w:val="00B708C1"/>
    <w:rsid w:val="00B70CC6"/>
    <w:rsid w:val="00B71F00"/>
    <w:rsid w:val="00B73732"/>
    <w:rsid w:val="00B74EA5"/>
    <w:rsid w:val="00B765F6"/>
    <w:rsid w:val="00B7731A"/>
    <w:rsid w:val="00B77B4E"/>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AFC"/>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371F"/>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30E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92C"/>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82F"/>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D0C"/>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70D7-560B-40AB-9DED-DBB8814B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17</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93</cp:revision>
  <cp:lastPrinted>2014-12-22T09:49:00Z</cp:lastPrinted>
  <dcterms:created xsi:type="dcterms:W3CDTF">2015-11-25T08:09:00Z</dcterms:created>
  <dcterms:modified xsi:type="dcterms:W3CDTF">2020-05-19T05:43:00Z</dcterms:modified>
</cp:coreProperties>
</file>