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DF68" w14:textId="6EB8AF8D" w:rsidR="00656E4C" w:rsidRPr="001E3E91" w:rsidRDefault="0061110D" w:rsidP="000C2F6E">
      <w:pPr>
        <w:tabs>
          <w:tab w:val="left" w:pos="993"/>
        </w:tabs>
        <w:contextualSpacing/>
        <w:jc w:val="center"/>
        <w:rPr>
          <w:b/>
        </w:rPr>
      </w:pPr>
      <w:bookmarkStart w:id="0" w:name="_Hlk535234728"/>
      <w:r>
        <w:rPr>
          <w:b/>
        </w:rPr>
        <w:t>Т</w:t>
      </w:r>
      <w:r w:rsidR="00A80E68" w:rsidRPr="001E3E91">
        <w:rPr>
          <w:b/>
        </w:rPr>
        <w:t xml:space="preserve">ЕХНИЧЕСКОЕ ЗАДАНИЕ </w:t>
      </w:r>
    </w:p>
    <w:p w14:paraId="0E8BBBFA" w14:textId="6B792EF2" w:rsidR="002A29CD" w:rsidRPr="002A29CD" w:rsidRDefault="002869CF" w:rsidP="002A29CD">
      <w:pPr>
        <w:tabs>
          <w:tab w:val="left" w:pos="993"/>
        </w:tabs>
        <w:contextualSpacing/>
        <w:jc w:val="center"/>
        <w:rPr>
          <w:b/>
        </w:rPr>
      </w:pPr>
      <w:proofErr w:type="gramStart"/>
      <w:r w:rsidRPr="002A29CD">
        <w:rPr>
          <w:b/>
        </w:rPr>
        <w:t xml:space="preserve">На </w:t>
      </w:r>
      <w:r w:rsidR="001724D1" w:rsidRPr="002A29CD">
        <w:rPr>
          <w:b/>
        </w:rPr>
        <w:t xml:space="preserve"> </w:t>
      </w:r>
      <w:r w:rsidRPr="002A29CD">
        <w:rPr>
          <w:b/>
        </w:rPr>
        <w:t>выполнение</w:t>
      </w:r>
      <w:proofErr w:type="gramEnd"/>
      <w:r w:rsidRPr="002A29CD">
        <w:rPr>
          <w:b/>
        </w:rPr>
        <w:t xml:space="preserve"> работ </w:t>
      </w:r>
      <w:r w:rsidR="000C2F6E" w:rsidRPr="002A29CD">
        <w:rPr>
          <w:b/>
        </w:rPr>
        <w:t xml:space="preserve"> </w:t>
      </w:r>
      <w:r w:rsidRPr="002A29CD">
        <w:rPr>
          <w:b/>
        </w:rPr>
        <w:t xml:space="preserve">по </w:t>
      </w:r>
      <w:r w:rsidR="002A29CD" w:rsidRPr="002A29CD">
        <w:rPr>
          <w:b/>
        </w:rPr>
        <w:t>закреплению</w:t>
      </w:r>
      <w:r w:rsidR="002A29CD" w:rsidRPr="002A29CD">
        <w:rPr>
          <w:b/>
        </w:rPr>
        <w:t xml:space="preserve"> грунтов оснований отдельных конструктивных элементов объекта: Завод по производству изделий из гипса «Волма-Оренбург»,</w:t>
      </w:r>
    </w:p>
    <w:p w14:paraId="6AB60D22" w14:textId="6522B634" w:rsidR="001724D1" w:rsidRPr="001E3E91" w:rsidRDefault="001724D1" w:rsidP="000C2F6E">
      <w:pPr>
        <w:tabs>
          <w:tab w:val="left" w:pos="993"/>
        </w:tabs>
        <w:contextualSpacing/>
        <w:jc w:val="center"/>
        <w:rPr>
          <w:b/>
        </w:rPr>
      </w:pPr>
    </w:p>
    <w:tbl>
      <w:tblPr>
        <w:tblStyle w:val="afd"/>
        <w:tblW w:w="9918" w:type="dxa"/>
        <w:tblLook w:val="04A0" w:firstRow="1" w:lastRow="0" w:firstColumn="1" w:lastColumn="0" w:noHBand="0" w:noVBand="1"/>
      </w:tblPr>
      <w:tblGrid>
        <w:gridCol w:w="801"/>
        <w:gridCol w:w="2512"/>
        <w:gridCol w:w="6605"/>
      </w:tblGrid>
      <w:tr w:rsidR="001724D1" w:rsidRPr="001E3E91" w14:paraId="713A2CDD" w14:textId="77777777" w:rsidTr="001E0729">
        <w:tc>
          <w:tcPr>
            <w:tcW w:w="801" w:type="dxa"/>
          </w:tcPr>
          <w:p w14:paraId="5D2FB8D7" w14:textId="5D5ECD68" w:rsidR="001724D1" w:rsidRPr="001E3E91" w:rsidRDefault="001724D1" w:rsidP="000C2F6E">
            <w:pPr>
              <w:tabs>
                <w:tab w:val="left" w:pos="993"/>
              </w:tabs>
              <w:contextualSpacing/>
              <w:jc w:val="center"/>
              <w:rPr>
                <w:b/>
              </w:rPr>
            </w:pPr>
            <w:r w:rsidRPr="001E3E91">
              <w:rPr>
                <w:b/>
              </w:rPr>
              <w:t>№п/п</w:t>
            </w:r>
          </w:p>
        </w:tc>
        <w:tc>
          <w:tcPr>
            <w:tcW w:w="2512" w:type="dxa"/>
          </w:tcPr>
          <w:p w14:paraId="0AD2E946" w14:textId="385A9525" w:rsidR="001724D1" w:rsidRPr="001E3E91" w:rsidRDefault="001724D1" w:rsidP="000C2F6E">
            <w:pPr>
              <w:tabs>
                <w:tab w:val="left" w:pos="993"/>
              </w:tabs>
              <w:contextualSpacing/>
              <w:jc w:val="center"/>
              <w:rPr>
                <w:b/>
              </w:rPr>
            </w:pPr>
            <w:r w:rsidRPr="001E3E91">
              <w:rPr>
                <w:b/>
              </w:rPr>
              <w:t>Наименование данных</w:t>
            </w:r>
          </w:p>
        </w:tc>
        <w:tc>
          <w:tcPr>
            <w:tcW w:w="6605" w:type="dxa"/>
          </w:tcPr>
          <w:p w14:paraId="584BDBC0" w14:textId="74AD0B99" w:rsidR="001724D1" w:rsidRPr="00B80010" w:rsidRDefault="001724D1" w:rsidP="00B80010">
            <w:pPr>
              <w:tabs>
                <w:tab w:val="left" w:pos="993"/>
              </w:tabs>
              <w:contextualSpacing/>
              <w:jc w:val="center"/>
              <w:rPr>
                <w:b/>
              </w:rPr>
            </w:pPr>
            <w:r w:rsidRPr="00B80010">
              <w:rPr>
                <w:b/>
              </w:rPr>
              <w:t>Содержание данных</w:t>
            </w:r>
          </w:p>
        </w:tc>
      </w:tr>
      <w:tr w:rsidR="001724D1" w:rsidRPr="001E3E91" w14:paraId="15C62988" w14:textId="77777777" w:rsidTr="001E0729">
        <w:tc>
          <w:tcPr>
            <w:tcW w:w="801" w:type="dxa"/>
          </w:tcPr>
          <w:p w14:paraId="5FD80B80" w14:textId="19BAE3F2" w:rsidR="001724D1" w:rsidRPr="001E3E91" w:rsidRDefault="00226E60" w:rsidP="000C2F6E">
            <w:pPr>
              <w:tabs>
                <w:tab w:val="left" w:pos="993"/>
              </w:tabs>
              <w:contextualSpacing/>
              <w:jc w:val="center"/>
              <w:rPr>
                <w:b/>
              </w:rPr>
            </w:pPr>
            <w:r w:rsidRPr="001E3E91">
              <w:rPr>
                <w:b/>
              </w:rPr>
              <w:t>1</w:t>
            </w:r>
          </w:p>
        </w:tc>
        <w:tc>
          <w:tcPr>
            <w:tcW w:w="2512" w:type="dxa"/>
          </w:tcPr>
          <w:p w14:paraId="7E3E1905" w14:textId="414756BC" w:rsidR="001724D1" w:rsidRPr="001E3E91" w:rsidRDefault="001724D1" w:rsidP="002D3A22">
            <w:pPr>
              <w:tabs>
                <w:tab w:val="left" w:pos="993"/>
              </w:tabs>
              <w:contextualSpacing/>
              <w:jc w:val="both"/>
              <w:rPr>
                <w:b/>
              </w:rPr>
            </w:pPr>
            <w:r w:rsidRPr="001E3E91">
              <w:rPr>
                <w:b/>
              </w:rPr>
              <w:t>Заказчик</w:t>
            </w:r>
          </w:p>
        </w:tc>
        <w:tc>
          <w:tcPr>
            <w:tcW w:w="6605" w:type="dxa"/>
          </w:tcPr>
          <w:p w14:paraId="2F52C7C2" w14:textId="1085023F" w:rsidR="001724D1" w:rsidRPr="001E3E91" w:rsidRDefault="001724D1" w:rsidP="002D3A22">
            <w:pPr>
              <w:tabs>
                <w:tab w:val="left" w:pos="993"/>
              </w:tabs>
              <w:contextualSpacing/>
              <w:jc w:val="both"/>
            </w:pPr>
            <w:r w:rsidRPr="001E3E91">
              <w:t>ООО «ВОЛМА-</w:t>
            </w:r>
            <w:r w:rsidR="002A29CD">
              <w:t>Оренбург</w:t>
            </w:r>
            <w:r w:rsidRPr="001E3E91">
              <w:t>»</w:t>
            </w:r>
          </w:p>
        </w:tc>
      </w:tr>
      <w:tr w:rsidR="001724D1" w:rsidRPr="001E3E91" w14:paraId="0E7122CE" w14:textId="77777777" w:rsidTr="001E0729">
        <w:tc>
          <w:tcPr>
            <w:tcW w:w="801" w:type="dxa"/>
          </w:tcPr>
          <w:p w14:paraId="6E3407E4" w14:textId="31C77E93" w:rsidR="001724D1" w:rsidRPr="001E3E91" w:rsidRDefault="00226E60" w:rsidP="000C2F6E">
            <w:pPr>
              <w:tabs>
                <w:tab w:val="left" w:pos="993"/>
              </w:tabs>
              <w:contextualSpacing/>
              <w:jc w:val="center"/>
              <w:rPr>
                <w:b/>
              </w:rPr>
            </w:pPr>
            <w:r w:rsidRPr="001E3E91">
              <w:rPr>
                <w:b/>
              </w:rPr>
              <w:t>2</w:t>
            </w:r>
          </w:p>
        </w:tc>
        <w:tc>
          <w:tcPr>
            <w:tcW w:w="2512" w:type="dxa"/>
          </w:tcPr>
          <w:p w14:paraId="5D1FAC97" w14:textId="274838D4" w:rsidR="001724D1" w:rsidRPr="001E3E91" w:rsidRDefault="001724D1" w:rsidP="002D3A22">
            <w:pPr>
              <w:tabs>
                <w:tab w:val="left" w:pos="993"/>
              </w:tabs>
              <w:contextualSpacing/>
              <w:jc w:val="both"/>
              <w:rPr>
                <w:b/>
              </w:rPr>
            </w:pPr>
            <w:r w:rsidRPr="001E3E91">
              <w:rPr>
                <w:b/>
              </w:rPr>
              <w:t>Вид работ</w:t>
            </w:r>
          </w:p>
        </w:tc>
        <w:tc>
          <w:tcPr>
            <w:tcW w:w="6605" w:type="dxa"/>
          </w:tcPr>
          <w:p w14:paraId="232CF2F3" w14:textId="403F1CB7" w:rsidR="001724D1" w:rsidRPr="001E3E91" w:rsidRDefault="00182083" w:rsidP="002D3A22">
            <w:pPr>
              <w:tabs>
                <w:tab w:val="left" w:pos="993"/>
              </w:tabs>
              <w:contextualSpacing/>
              <w:jc w:val="both"/>
            </w:pPr>
            <w:r>
              <w:t xml:space="preserve">Капитальный </w:t>
            </w:r>
            <w:r w:rsidRPr="00182083">
              <w:t xml:space="preserve">ремонт железнодорожных </w:t>
            </w:r>
            <w:proofErr w:type="gramStart"/>
            <w:r w:rsidRPr="00182083">
              <w:t>путей  необщего</w:t>
            </w:r>
            <w:proofErr w:type="gramEnd"/>
            <w:r w:rsidRPr="00182083">
              <w:t xml:space="preserve"> пользования ООО «ЮжУралгипс», расположенного по адресу:  Оренбургская область, </w:t>
            </w:r>
            <w:proofErr w:type="spellStart"/>
            <w:r w:rsidRPr="00182083">
              <w:t>Беляевский</w:t>
            </w:r>
            <w:proofErr w:type="spellEnd"/>
            <w:r w:rsidRPr="00182083">
              <w:t xml:space="preserve"> район, посёлок Дубенский, ул. Заводская, 1.</w:t>
            </w:r>
          </w:p>
        </w:tc>
      </w:tr>
      <w:tr w:rsidR="001724D1" w:rsidRPr="001E3E91" w14:paraId="2E29FE79" w14:textId="77777777" w:rsidTr="001E0729">
        <w:tc>
          <w:tcPr>
            <w:tcW w:w="801" w:type="dxa"/>
          </w:tcPr>
          <w:p w14:paraId="2550FA1A" w14:textId="4D4FA811" w:rsidR="001724D1" w:rsidRPr="001E3E91" w:rsidRDefault="00226E60" w:rsidP="000C2F6E">
            <w:pPr>
              <w:tabs>
                <w:tab w:val="left" w:pos="993"/>
              </w:tabs>
              <w:contextualSpacing/>
              <w:jc w:val="center"/>
              <w:rPr>
                <w:b/>
              </w:rPr>
            </w:pPr>
            <w:r w:rsidRPr="001E3E91">
              <w:rPr>
                <w:b/>
              </w:rPr>
              <w:t>3</w:t>
            </w:r>
          </w:p>
        </w:tc>
        <w:tc>
          <w:tcPr>
            <w:tcW w:w="2512" w:type="dxa"/>
          </w:tcPr>
          <w:p w14:paraId="2E9772F1" w14:textId="6183503C" w:rsidR="001724D1" w:rsidRPr="001E3E91" w:rsidRDefault="001724D1" w:rsidP="002D3A22">
            <w:pPr>
              <w:tabs>
                <w:tab w:val="left" w:pos="993"/>
              </w:tabs>
              <w:contextualSpacing/>
              <w:jc w:val="both"/>
              <w:rPr>
                <w:b/>
              </w:rPr>
            </w:pPr>
            <w:r w:rsidRPr="001E3E91">
              <w:rPr>
                <w:b/>
              </w:rPr>
              <w:t>Место расположение объекта</w:t>
            </w:r>
          </w:p>
        </w:tc>
        <w:tc>
          <w:tcPr>
            <w:tcW w:w="6605" w:type="dxa"/>
          </w:tcPr>
          <w:p w14:paraId="03214393" w14:textId="4AB72A7C" w:rsidR="001724D1" w:rsidRPr="001E3E91" w:rsidRDefault="00182083" w:rsidP="002D3A22">
            <w:pPr>
              <w:tabs>
                <w:tab w:val="left" w:pos="993"/>
              </w:tabs>
              <w:contextualSpacing/>
              <w:jc w:val="both"/>
            </w:pPr>
            <w:r>
              <w:t xml:space="preserve"> </w:t>
            </w:r>
            <w:r w:rsidRPr="00182083">
              <w:t xml:space="preserve">Оренбургская область, </w:t>
            </w:r>
            <w:proofErr w:type="spellStart"/>
            <w:r w:rsidRPr="00182083">
              <w:t>Беляевский</w:t>
            </w:r>
            <w:proofErr w:type="spellEnd"/>
            <w:r w:rsidRPr="00182083">
              <w:t xml:space="preserve"> район, посёлок Дубенский, ул. Заводская, 1.</w:t>
            </w:r>
          </w:p>
        </w:tc>
      </w:tr>
      <w:tr w:rsidR="001724D1" w:rsidRPr="001E3E91" w14:paraId="0C358642" w14:textId="77777777" w:rsidTr="001E0729">
        <w:tc>
          <w:tcPr>
            <w:tcW w:w="801" w:type="dxa"/>
          </w:tcPr>
          <w:p w14:paraId="1C1437E9" w14:textId="03EF65C7" w:rsidR="001724D1" w:rsidRPr="001E3E91" w:rsidRDefault="00226E60" w:rsidP="000C2F6E">
            <w:pPr>
              <w:tabs>
                <w:tab w:val="left" w:pos="993"/>
              </w:tabs>
              <w:contextualSpacing/>
              <w:jc w:val="center"/>
              <w:rPr>
                <w:b/>
              </w:rPr>
            </w:pPr>
            <w:r w:rsidRPr="001E3E91">
              <w:rPr>
                <w:b/>
              </w:rPr>
              <w:t>4</w:t>
            </w:r>
          </w:p>
        </w:tc>
        <w:tc>
          <w:tcPr>
            <w:tcW w:w="2512" w:type="dxa"/>
          </w:tcPr>
          <w:p w14:paraId="4EB1A8DB" w14:textId="557B624C" w:rsidR="001724D1" w:rsidRPr="001E3E91" w:rsidRDefault="001724D1" w:rsidP="002D3A22">
            <w:pPr>
              <w:tabs>
                <w:tab w:val="left" w:pos="993"/>
              </w:tabs>
              <w:contextualSpacing/>
              <w:jc w:val="both"/>
              <w:rPr>
                <w:b/>
              </w:rPr>
            </w:pPr>
            <w:r w:rsidRPr="001E3E91">
              <w:rPr>
                <w:b/>
              </w:rPr>
              <w:t>Основание</w:t>
            </w:r>
          </w:p>
        </w:tc>
        <w:tc>
          <w:tcPr>
            <w:tcW w:w="6605" w:type="dxa"/>
          </w:tcPr>
          <w:p w14:paraId="10A7B0C7" w14:textId="31BC1DFD" w:rsidR="001724D1" w:rsidRPr="00631E69" w:rsidRDefault="00631E69" w:rsidP="002D3A22">
            <w:pPr>
              <w:tabs>
                <w:tab w:val="left" w:pos="993"/>
              </w:tabs>
              <w:contextualSpacing/>
              <w:jc w:val="both"/>
            </w:pPr>
            <w:r w:rsidRPr="00631E69">
              <w:t>Деформация конструкций каркаса производственного корпуса</w:t>
            </w:r>
          </w:p>
        </w:tc>
      </w:tr>
      <w:tr w:rsidR="002D3A22" w:rsidRPr="001E3E91" w14:paraId="24600A3E" w14:textId="77777777" w:rsidTr="001E0729">
        <w:tc>
          <w:tcPr>
            <w:tcW w:w="801" w:type="dxa"/>
          </w:tcPr>
          <w:p w14:paraId="196A2389" w14:textId="12202F5B" w:rsidR="002D3A22" w:rsidRPr="001E3E91" w:rsidRDefault="00226E60" w:rsidP="000C2F6E">
            <w:pPr>
              <w:tabs>
                <w:tab w:val="left" w:pos="993"/>
              </w:tabs>
              <w:contextualSpacing/>
              <w:jc w:val="center"/>
              <w:rPr>
                <w:b/>
              </w:rPr>
            </w:pPr>
            <w:r w:rsidRPr="001E3E91">
              <w:rPr>
                <w:b/>
              </w:rPr>
              <w:t>5</w:t>
            </w:r>
          </w:p>
        </w:tc>
        <w:tc>
          <w:tcPr>
            <w:tcW w:w="2512" w:type="dxa"/>
          </w:tcPr>
          <w:p w14:paraId="17E20A4D" w14:textId="1552788B" w:rsidR="002D3A22" w:rsidRPr="001E3E91" w:rsidRDefault="002D3A22" w:rsidP="002D3A22">
            <w:pPr>
              <w:tabs>
                <w:tab w:val="left" w:pos="993"/>
              </w:tabs>
              <w:contextualSpacing/>
              <w:jc w:val="both"/>
              <w:rPr>
                <w:b/>
              </w:rPr>
            </w:pPr>
            <w:r w:rsidRPr="001E3E91">
              <w:rPr>
                <w:b/>
              </w:rPr>
              <w:t>Сроки исполнения</w:t>
            </w:r>
          </w:p>
        </w:tc>
        <w:tc>
          <w:tcPr>
            <w:tcW w:w="6605" w:type="dxa"/>
          </w:tcPr>
          <w:p w14:paraId="55B1E30B" w14:textId="59305B91" w:rsidR="002D3A22" w:rsidRPr="001E3E91" w:rsidRDefault="00631E69" w:rsidP="002D3A22">
            <w:pPr>
              <w:tabs>
                <w:tab w:val="left" w:pos="993"/>
              </w:tabs>
              <w:contextualSpacing/>
              <w:jc w:val="both"/>
            </w:pPr>
            <w:r>
              <w:t>По результатам тендера</w:t>
            </w:r>
          </w:p>
        </w:tc>
      </w:tr>
      <w:tr w:rsidR="001724D1" w:rsidRPr="001E3E91" w14:paraId="2AB2DE08" w14:textId="77777777" w:rsidTr="001E0729">
        <w:tc>
          <w:tcPr>
            <w:tcW w:w="801" w:type="dxa"/>
          </w:tcPr>
          <w:p w14:paraId="75423EF1" w14:textId="77C5620A" w:rsidR="001724D1" w:rsidRPr="001E3E91" w:rsidRDefault="00226E60" w:rsidP="000C2F6E">
            <w:pPr>
              <w:tabs>
                <w:tab w:val="left" w:pos="993"/>
              </w:tabs>
              <w:contextualSpacing/>
              <w:jc w:val="center"/>
              <w:rPr>
                <w:b/>
              </w:rPr>
            </w:pPr>
            <w:r w:rsidRPr="001E3E91">
              <w:rPr>
                <w:b/>
              </w:rPr>
              <w:t>6</w:t>
            </w:r>
          </w:p>
        </w:tc>
        <w:tc>
          <w:tcPr>
            <w:tcW w:w="2512" w:type="dxa"/>
          </w:tcPr>
          <w:p w14:paraId="0975A28F" w14:textId="36A0CC5C" w:rsidR="001724D1" w:rsidRPr="001E3E91" w:rsidRDefault="001724D1" w:rsidP="002D3A22">
            <w:pPr>
              <w:tabs>
                <w:tab w:val="left" w:pos="993"/>
              </w:tabs>
              <w:contextualSpacing/>
              <w:jc w:val="both"/>
              <w:rPr>
                <w:b/>
              </w:rPr>
            </w:pPr>
            <w:r w:rsidRPr="001E3E91">
              <w:rPr>
                <w:b/>
              </w:rPr>
              <w:t>Порядок оплаты</w:t>
            </w:r>
          </w:p>
        </w:tc>
        <w:tc>
          <w:tcPr>
            <w:tcW w:w="6605" w:type="dxa"/>
          </w:tcPr>
          <w:p w14:paraId="00E9F6EF" w14:textId="134F2072" w:rsidR="008F319A" w:rsidRPr="00182083" w:rsidRDefault="00631E69" w:rsidP="00182083">
            <w:pPr>
              <w:tabs>
                <w:tab w:val="left" w:pos="993"/>
              </w:tabs>
              <w:contextualSpacing/>
              <w:rPr>
                <w:color w:val="FF0000"/>
              </w:rPr>
            </w:pPr>
            <w:r>
              <w:t>По результатам тендера</w:t>
            </w:r>
          </w:p>
        </w:tc>
      </w:tr>
      <w:tr w:rsidR="001724D1" w:rsidRPr="001E3E91" w14:paraId="778CECFD" w14:textId="77777777" w:rsidTr="001E0729">
        <w:tc>
          <w:tcPr>
            <w:tcW w:w="801" w:type="dxa"/>
          </w:tcPr>
          <w:p w14:paraId="4EDDE009" w14:textId="7E791370" w:rsidR="001724D1" w:rsidRPr="001E3E91" w:rsidRDefault="00226E60" w:rsidP="000C2F6E">
            <w:pPr>
              <w:tabs>
                <w:tab w:val="left" w:pos="993"/>
              </w:tabs>
              <w:contextualSpacing/>
              <w:jc w:val="center"/>
              <w:rPr>
                <w:b/>
              </w:rPr>
            </w:pPr>
            <w:r w:rsidRPr="001E3E91">
              <w:rPr>
                <w:b/>
              </w:rPr>
              <w:t>7</w:t>
            </w:r>
          </w:p>
        </w:tc>
        <w:tc>
          <w:tcPr>
            <w:tcW w:w="2512" w:type="dxa"/>
          </w:tcPr>
          <w:p w14:paraId="30E8A6E4" w14:textId="41A558DA" w:rsidR="001724D1" w:rsidRPr="001E3E91" w:rsidRDefault="001724D1" w:rsidP="002D3A22">
            <w:pPr>
              <w:tabs>
                <w:tab w:val="left" w:pos="993"/>
              </w:tabs>
              <w:contextualSpacing/>
              <w:jc w:val="both"/>
              <w:rPr>
                <w:b/>
              </w:rPr>
            </w:pPr>
            <w:r w:rsidRPr="001E3E91">
              <w:rPr>
                <w:b/>
              </w:rPr>
              <w:t>Гарантия</w:t>
            </w:r>
          </w:p>
        </w:tc>
        <w:tc>
          <w:tcPr>
            <w:tcW w:w="6605" w:type="dxa"/>
          </w:tcPr>
          <w:p w14:paraId="685748B3" w14:textId="6FC6FAC2" w:rsidR="001724D1" w:rsidRPr="00B80010" w:rsidRDefault="00C52DA8" w:rsidP="00C52DA8">
            <w:pPr>
              <w:tabs>
                <w:tab w:val="left" w:pos="993"/>
              </w:tabs>
              <w:contextualSpacing/>
              <w:jc w:val="both"/>
            </w:pPr>
            <w:r w:rsidRPr="00631E69">
              <w:t xml:space="preserve">Гарантийный срок </w:t>
            </w:r>
            <w:r w:rsidR="00B80010" w:rsidRPr="00631E69">
              <w:t>НА РАБОТЫ</w:t>
            </w:r>
            <w:r w:rsidR="00182083" w:rsidRPr="00631E69">
              <w:t xml:space="preserve"> </w:t>
            </w:r>
            <w:r w:rsidR="00631E69" w:rsidRPr="00631E69">
              <w:t>60</w:t>
            </w:r>
            <w:r w:rsidRPr="00631E69">
              <w:t xml:space="preserve"> месяцев</w:t>
            </w:r>
            <w:r w:rsidRPr="00631E69">
              <w:rPr>
                <w:strike/>
              </w:rPr>
              <w:t xml:space="preserve"> </w:t>
            </w:r>
            <w:r w:rsidRPr="00631E69">
              <w:t xml:space="preserve">в объеме 100% с даты подписания акта </w:t>
            </w:r>
            <w:r w:rsidR="002869CF" w:rsidRPr="00631E69">
              <w:t>выполненных работ</w:t>
            </w:r>
            <w:r w:rsidRPr="00631E69">
              <w:t xml:space="preserve">. </w:t>
            </w:r>
            <w:r w:rsidR="00B80010" w:rsidRPr="00631E69">
              <w:t xml:space="preserve"> </w:t>
            </w:r>
            <w:r w:rsidR="00182083" w:rsidRPr="00631E69">
              <w:t xml:space="preserve"> </w:t>
            </w:r>
          </w:p>
        </w:tc>
      </w:tr>
      <w:tr w:rsidR="001E3E91" w:rsidRPr="001E3E91" w14:paraId="0F7EBB23" w14:textId="77777777" w:rsidTr="001E0729">
        <w:tc>
          <w:tcPr>
            <w:tcW w:w="801" w:type="dxa"/>
          </w:tcPr>
          <w:p w14:paraId="2FA2F55E" w14:textId="0414A3AB" w:rsidR="001E3E91" w:rsidRPr="001E3E91" w:rsidRDefault="0061110D" w:rsidP="001E3E91">
            <w:pPr>
              <w:tabs>
                <w:tab w:val="left" w:pos="993"/>
              </w:tabs>
              <w:contextualSpacing/>
              <w:jc w:val="center"/>
              <w:rPr>
                <w:b/>
              </w:rPr>
            </w:pPr>
            <w:r>
              <w:rPr>
                <w:b/>
              </w:rPr>
              <w:t>8</w:t>
            </w:r>
          </w:p>
        </w:tc>
        <w:tc>
          <w:tcPr>
            <w:tcW w:w="2512" w:type="dxa"/>
            <w:vAlign w:val="center"/>
          </w:tcPr>
          <w:p w14:paraId="19ABDC03" w14:textId="7564BA0F" w:rsidR="001E3E91" w:rsidRPr="001E3E91" w:rsidRDefault="001E3E91" w:rsidP="001E3E91">
            <w:pPr>
              <w:tabs>
                <w:tab w:val="left" w:pos="993"/>
              </w:tabs>
              <w:contextualSpacing/>
              <w:jc w:val="both"/>
              <w:rPr>
                <w:b/>
              </w:rPr>
            </w:pPr>
            <w:r w:rsidRPr="001E3E91">
              <w:rPr>
                <w:b/>
              </w:rPr>
              <w:t>Состав и характеристика производства</w:t>
            </w:r>
          </w:p>
        </w:tc>
        <w:tc>
          <w:tcPr>
            <w:tcW w:w="6605" w:type="dxa"/>
          </w:tcPr>
          <w:p w14:paraId="249449E0" w14:textId="77777777" w:rsidR="0061110D" w:rsidRPr="0061110D" w:rsidRDefault="0061110D" w:rsidP="0061110D">
            <w:pPr>
              <w:widowControl w:val="0"/>
              <w:autoSpaceDE w:val="0"/>
              <w:autoSpaceDN w:val="0"/>
              <w:ind w:left="112" w:right="322"/>
              <w:jc w:val="both"/>
              <w:rPr>
                <w:lang w:bidi="ru-RU"/>
              </w:rPr>
            </w:pPr>
            <w:bookmarkStart w:id="1" w:name="_Hlk20406192"/>
            <w:r w:rsidRPr="0061110D">
              <w:rPr>
                <w:lang w:bidi="ru-RU"/>
              </w:rPr>
              <w:t xml:space="preserve">1)Разработка проектной документации (стадия РД-рабочая документация) на Усиление грунтов оснований части здания с кадастровым номером 56:06:0000000:2007 на участке  по производству ПГП (помещения 33-60 в техническом паспорте от 07.12.2015 г.) на заводе по производству гипсового вяжущего, сухих строительных смесей на гипсовой основе, линии ПГП, перлита, </w:t>
            </w:r>
            <w:proofErr w:type="spellStart"/>
            <w:r w:rsidRPr="0061110D">
              <w:rPr>
                <w:lang w:bidi="ru-RU"/>
              </w:rPr>
              <w:t>сыромола</w:t>
            </w:r>
            <w:proofErr w:type="spellEnd"/>
            <w:r w:rsidRPr="0061110D">
              <w:rPr>
                <w:lang w:bidi="ru-RU"/>
              </w:rPr>
              <w:t xml:space="preserve"> «ВОЛМА-Оренбург», расположенного по адресу: Оренбургская обл., </w:t>
            </w:r>
            <w:proofErr w:type="spellStart"/>
            <w:r w:rsidRPr="0061110D">
              <w:rPr>
                <w:lang w:bidi="ru-RU"/>
              </w:rPr>
              <w:t>Беляевский</w:t>
            </w:r>
            <w:proofErr w:type="spellEnd"/>
            <w:r w:rsidRPr="0061110D">
              <w:rPr>
                <w:lang w:bidi="ru-RU"/>
              </w:rPr>
              <w:t xml:space="preserve"> район, пос. Дубенский, </w:t>
            </w:r>
            <w:r w:rsidRPr="0061110D">
              <w:rPr>
                <w:spacing w:val="-3"/>
                <w:lang w:bidi="ru-RU"/>
              </w:rPr>
              <w:t xml:space="preserve">ул. </w:t>
            </w:r>
            <w:r w:rsidRPr="0061110D">
              <w:rPr>
                <w:lang w:bidi="ru-RU"/>
              </w:rPr>
              <w:t>Заводская, д.1 (далее – проектная</w:t>
            </w:r>
            <w:r w:rsidRPr="0061110D">
              <w:rPr>
                <w:spacing w:val="-1"/>
                <w:lang w:bidi="ru-RU"/>
              </w:rPr>
              <w:t xml:space="preserve"> </w:t>
            </w:r>
            <w:r w:rsidRPr="0061110D">
              <w:rPr>
                <w:lang w:bidi="ru-RU"/>
              </w:rPr>
              <w:t>документация), в том числе получение положительного заключения негосударственной экспертизы проектной документации;</w:t>
            </w:r>
          </w:p>
          <w:p w14:paraId="71240FCA" w14:textId="491202D8" w:rsidR="001E3E91" w:rsidRPr="001E3E91" w:rsidRDefault="0061110D" w:rsidP="0061110D">
            <w:pPr>
              <w:widowControl w:val="0"/>
              <w:autoSpaceDE w:val="0"/>
              <w:autoSpaceDN w:val="0"/>
              <w:spacing w:before="1"/>
              <w:ind w:left="112" w:right="327"/>
              <w:jc w:val="both"/>
              <w:rPr>
                <w:lang w:bidi="ru-RU"/>
              </w:rPr>
            </w:pPr>
            <w:r w:rsidRPr="0061110D">
              <w:rPr>
                <w:lang w:bidi="ru-RU"/>
              </w:rPr>
              <w:t xml:space="preserve">2) Выполнение работ по усилению грунтов оснований части здания с кадастровым номером 56:06:0000000:2007 на участке по производству ПГП (помещения 33-60 в техническом паспорте от 07.12.2015 г.) на заводе по производству гипсового вяжущего, сухих строительных смесей на гипсовой основе, линии ПГП, перлита, </w:t>
            </w:r>
            <w:proofErr w:type="spellStart"/>
            <w:r w:rsidRPr="0061110D">
              <w:rPr>
                <w:lang w:bidi="ru-RU"/>
              </w:rPr>
              <w:t>сыромола</w:t>
            </w:r>
            <w:proofErr w:type="spellEnd"/>
            <w:r w:rsidRPr="0061110D">
              <w:rPr>
                <w:lang w:bidi="ru-RU"/>
              </w:rPr>
              <w:t xml:space="preserve"> «ВОЛМА-Оренбург», расположенного по адресу: Оренбургская обл., </w:t>
            </w:r>
            <w:proofErr w:type="spellStart"/>
            <w:r w:rsidRPr="0061110D">
              <w:rPr>
                <w:lang w:bidi="ru-RU"/>
              </w:rPr>
              <w:t>Беляевский</w:t>
            </w:r>
            <w:proofErr w:type="spellEnd"/>
            <w:r w:rsidRPr="0061110D">
              <w:rPr>
                <w:lang w:bidi="ru-RU"/>
              </w:rPr>
              <w:t xml:space="preserve"> район, пос. Дубенский, ул. Заводская, д.1 (далее – Объект) путем глубинного инъектирования системы для стабилизации грунта </w:t>
            </w:r>
            <w:r w:rsidRPr="0061110D">
              <w:rPr>
                <w:color w:val="FF0000"/>
                <w:highlight w:val="yellow"/>
                <w:u w:val="single"/>
                <w:lang w:bidi="ru-RU"/>
              </w:rPr>
              <w:t>марка материала</w:t>
            </w:r>
            <w:r w:rsidRPr="0061110D">
              <w:rPr>
                <w:b/>
                <w:color w:val="FF0000"/>
                <w:lang w:bidi="ru-RU"/>
              </w:rPr>
              <w:t xml:space="preserve"> </w:t>
            </w:r>
            <w:r w:rsidRPr="0061110D">
              <w:rPr>
                <w:lang w:bidi="ru-RU"/>
              </w:rPr>
              <w:t xml:space="preserve">производства компании </w:t>
            </w:r>
            <w:r w:rsidRPr="0061110D">
              <w:rPr>
                <w:color w:val="FF0000"/>
                <w:highlight w:val="yellow"/>
                <w:u w:val="single"/>
                <w:lang w:bidi="ru-RU"/>
              </w:rPr>
              <w:t>___________</w:t>
            </w:r>
            <w:r w:rsidRPr="0061110D">
              <w:rPr>
                <w:lang w:bidi="ru-RU"/>
              </w:rPr>
              <w:t xml:space="preserve"> (далее – усиление грунтов в осях Г-Д, 18-42, общей площадью 1063,75 кв.метров).</w:t>
            </w:r>
            <w:bookmarkEnd w:id="1"/>
          </w:p>
        </w:tc>
      </w:tr>
      <w:tr w:rsidR="00560ED6" w:rsidRPr="001E3E91" w14:paraId="6A811777" w14:textId="77777777" w:rsidTr="001E0729">
        <w:tc>
          <w:tcPr>
            <w:tcW w:w="801" w:type="dxa"/>
          </w:tcPr>
          <w:p w14:paraId="3A29B87F" w14:textId="37D58B45" w:rsidR="00560ED6" w:rsidRPr="001E3E91" w:rsidRDefault="0061110D" w:rsidP="00560ED6">
            <w:pPr>
              <w:tabs>
                <w:tab w:val="left" w:pos="993"/>
              </w:tabs>
              <w:contextualSpacing/>
              <w:jc w:val="center"/>
              <w:rPr>
                <w:b/>
              </w:rPr>
            </w:pPr>
            <w:r>
              <w:rPr>
                <w:b/>
              </w:rPr>
              <w:t>9</w:t>
            </w:r>
          </w:p>
        </w:tc>
        <w:tc>
          <w:tcPr>
            <w:tcW w:w="2512" w:type="dxa"/>
          </w:tcPr>
          <w:p w14:paraId="6D97B0E8" w14:textId="25303739" w:rsidR="00560ED6" w:rsidRPr="001E3E91" w:rsidRDefault="00560ED6" w:rsidP="00560ED6">
            <w:pPr>
              <w:tabs>
                <w:tab w:val="left" w:pos="993"/>
              </w:tabs>
              <w:contextualSpacing/>
              <w:jc w:val="both"/>
              <w:rPr>
                <w:b/>
              </w:rPr>
            </w:pPr>
            <w:r w:rsidRPr="001E3E91">
              <w:rPr>
                <w:b/>
              </w:rPr>
              <w:t>Требования к подрядной организации</w:t>
            </w:r>
          </w:p>
        </w:tc>
        <w:tc>
          <w:tcPr>
            <w:tcW w:w="6605" w:type="dxa"/>
          </w:tcPr>
          <w:p w14:paraId="19F5DFE0" w14:textId="284C34C2" w:rsidR="007B2093" w:rsidRPr="007B2093" w:rsidRDefault="007B2093" w:rsidP="007B2093">
            <w:pPr>
              <w:tabs>
                <w:tab w:val="left" w:pos="993"/>
              </w:tabs>
              <w:contextualSpacing/>
              <w:jc w:val="both"/>
              <w:rPr>
                <w:color w:val="000000"/>
                <w:shd w:val="clear" w:color="auto" w:fill="FFFFFF"/>
              </w:rPr>
            </w:pPr>
            <w:r>
              <w:rPr>
                <w:color w:val="000000"/>
                <w:shd w:val="clear" w:color="auto" w:fill="FFFFFF"/>
              </w:rPr>
              <w:t xml:space="preserve">Подрядчик  должен </w:t>
            </w:r>
            <w:r w:rsidRPr="007B2093">
              <w:rPr>
                <w:color w:val="000000"/>
                <w:shd w:val="clear" w:color="auto" w:fill="FFFFFF"/>
              </w:rPr>
              <w:t>име</w:t>
            </w:r>
            <w:r>
              <w:rPr>
                <w:color w:val="000000"/>
                <w:shd w:val="clear" w:color="auto" w:fill="FFFFFF"/>
              </w:rPr>
              <w:t>ть</w:t>
            </w:r>
            <w:r w:rsidRPr="007B2093">
              <w:rPr>
                <w:color w:val="000000"/>
                <w:shd w:val="clear" w:color="auto" w:fill="FFFFFF"/>
              </w:rPr>
              <w:t xml:space="preserve"> опыт выполнения аналогичных работ, располагающими техническими средствами и оснасткой, необходимой для выполнения качественной работы;</w:t>
            </w:r>
          </w:p>
          <w:p w14:paraId="24F3A324" w14:textId="6316364C" w:rsidR="007B2093" w:rsidRPr="007B2093" w:rsidRDefault="007B2093" w:rsidP="007B2093">
            <w:pPr>
              <w:tabs>
                <w:tab w:val="left" w:pos="993"/>
              </w:tabs>
              <w:contextualSpacing/>
              <w:jc w:val="both"/>
              <w:rPr>
                <w:color w:val="000000"/>
                <w:shd w:val="clear" w:color="auto" w:fill="FFFFFF"/>
              </w:rPr>
            </w:pPr>
            <w:r w:rsidRPr="007B2093">
              <w:rPr>
                <w:color w:val="000000"/>
                <w:shd w:val="clear" w:color="auto" w:fill="FFFFFF"/>
              </w:rPr>
              <w:t>Наличие опыта оказания аналогичных услуг не менее 5 лет;</w:t>
            </w:r>
          </w:p>
          <w:p w14:paraId="22A9EC72" w14:textId="09DDEA38" w:rsidR="007B2093" w:rsidRPr="007B2093" w:rsidRDefault="007B2093" w:rsidP="007B2093">
            <w:pPr>
              <w:tabs>
                <w:tab w:val="left" w:pos="993"/>
              </w:tabs>
              <w:contextualSpacing/>
              <w:jc w:val="both"/>
              <w:rPr>
                <w:color w:val="000000"/>
                <w:shd w:val="clear" w:color="auto" w:fill="FFFFFF"/>
              </w:rPr>
            </w:pPr>
            <w:r w:rsidRPr="007B2093">
              <w:rPr>
                <w:color w:val="000000"/>
                <w:shd w:val="clear" w:color="auto" w:fill="FFFFFF"/>
              </w:rPr>
              <w:t>Членство в СРО;</w:t>
            </w:r>
          </w:p>
          <w:p w14:paraId="7E0A06D1" w14:textId="77777777" w:rsidR="00182083" w:rsidRDefault="007B2093" w:rsidP="00182083">
            <w:pPr>
              <w:tabs>
                <w:tab w:val="left" w:pos="993"/>
              </w:tabs>
              <w:contextualSpacing/>
              <w:jc w:val="both"/>
              <w:rPr>
                <w:color w:val="000000"/>
                <w:shd w:val="clear" w:color="auto" w:fill="FFFFFF"/>
              </w:rPr>
            </w:pPr>
            <w:r w:rsidRPr="007B2093">
              <w:rPr>
                <w:color w:val="000000"/>
                <w:shd w:val="clear" w:color="auto" w:fill="FFFFFF"/>
              </w:rPr>
              <w:t xml:space="preserve">Наличие у лиц, допущенных к производству работ, профессиональной подготовки, подтвержденной </w:t>
            </w:r>
            <w:r w:rsidRPr="007B2093">
              <w:rPr>
                <w:color w:val="000000"/>
                <w:shd w:val="clear" w:color="auto" w:fill="FFFFFF"/>
              </w:rPr>
              <w:lastRenderedPageBreak/>
              <w:t>удостоверениями на право</w:t>
            </w:r>
            <w:r w:rsidR="00182083">
              <w:rPr>
                <w:color w:val="000000"/>
                <w:shd w:val="clear" w:color="auto" w:fill="FFFFFF"/>
              </w:rPr>
              <w:t xml:space="preserve"> проведения </w:t>
            </w:r>
            <w:proofErr w:type="gramStart"/>
            <w:r w:rsidR="00182083">
              <w:rPr>
                <w:color w:val="000000"/>
                <w:shd w:val="clear" w:color="auto" w:fill="FFFFFF"/>
              </w:rPr>
              <w:t xml:space="preserve">видов </w:t>
            </w:r>
            <w:r>
              <w:rPr>
                <w:color w:val="000000"/>
                <w:shd w:val="clear" w:color="auto" w:fill="FFFFFF"/>
              </w:rPr>
              <w:t xml:space="preserve"> </w:t>
            </w:r>
            <w:r w:rsidRPr="007B2093">
              <w:rPr>
                <w:color w:val="000000"/>
                <w:shd w:val="clear" w:color="auto" w:fill="FFFFFF"/>
              </w:rPr>
              <w:t>работ</w:t>
            </w:r>
            <w:proofErr w:type="gramEnd"/>
            <w:r w:rsidRPr="007B2093">
              <w:rPr>
                <w:color w:val="000000"/>
                <w:shd w:val="clear" w:color="auto" w:fill="FFFFFF"/>
              </w:rPr>
              <w:t>.</w:t>
            </w:r>
            <w:r>
              <w:rPr>
                <w:color w:val="000000"/>
                <w:shd w:val="clear" w:color="auto" w:fill="FFFFFF"/>
              </w:rPr>
              <w:t xml:space="preserve"> </w:t>
            </w:r>
            <w:r>
              <w:rPr>
                <w:color w:val="000000"/>
              </w:rPr>
              <w:br/>
            </w:r>
            <w:r w:rsidRPr="00182083">
              <w:rPr>
                <w:color w:val="000000"/>
                <w:shd w:val="clear" w:color="auto" w:fill="FFFFFF"/>
              </w:rPr>
              <w:t xml:space="preserve">При исполнении Договора Подрядчик обеспечивает соблюдение правил действующего внутреннего распорядка Заказчика, контрольно-пропускного режима, внутренних положений и инструкций Заказчика, правила привлечения и использования труда иностранных граждан, установленные законодательством Российской Федерации и нормативными правовыми актами </w:t>
            </w:r>
            <w:r w:rsidR="00182083" w:rsidRPr="00182083">
              <w:rPr>
                <w:color w:val="000000"/>
                <w:shd w:val="clear" w:color="auto" w:fill="FFFFFF"/>
              </w:rPr>
              <w:t xml:space="preserve">Оренбургской </w:t>
            </w:r>
            <w:proofErr w:type="gramStart"/>
            <w:r w:rsidR="00182083" w:rsidRPr="00182083">
              <w:rPr>
                <w:color w:val="000000"/>
                <w:shd w:val="clear" w:color="auto" w:fill="FFFFFF"/>
              </w:rPr>
              <w:t xml:space="preserve">области </w:t>
            </w:r>
            <w:r w:rsidRPr="00182083">
              <w:rPr>
                <w:color w:val="000000"/>
                <w:shd w:val="clear" w:color="auto" w:fill="FFFFFF"/>
              </w:rPr>
              <w:t>.</w:t>
            </w:r>
            <w:proofErr w:type="gramEnd"/>
            <w:r w:rsidRPr="00182083">
              <w:rPr>
                <w:color w:val="000000"/>
                <w:shd w:val="clear" w:color="auto" w:fill="FFFFFF"/>
              </w:rPr>
              <w:t xml:space="preserve"> </w:t>
            </w:r>
          </w:p>
          <w:p w14:paraId="59846543" w14:textId="6C2E3F96" w:rsidR="00182083" w:rsidRDefault="00182083" w:rsidP="00182083">
            <w:pPr>
              <w:tabs>
                <w:tab w:val="left" w:pos="993"/>
              </w:tabs>
              <w:contextualSpacing/>
              <w:jc w:val="both"/>
              <w:rPr>
                <w:color w:val="000000"/>
                <w:shd w:val="clear" w:color="auto" w:fill="FFFFFF"/>
              </w:rPr>
            </w:pPr>
            <w:r>
              <w:rPr>
                <w:color w:val="000000"/>
                <w:shd w:val="clear" w:color="auto" w:fill="FFFFFF"/>
              </w:rPr>
              <w:t>Работы выполняются в соответствии с</w:t>
            </w:r>
            <w:r w:rsidR="0061110D">
              <w:rPr>
                <w:color w:val="000000"/>
                <w:shd w:val="clear" w:color="auto" w:fill="FFFFFF"/>
              </w:rPr>
              <w:t xml:space="preserve"> действующим законодательством и правовыми актами.</w:t>
            </w:r>
          </w:p>
          <w:p w14:paraId="34CCAC18" w14:textId="6F565E47" w:rsidR="007B2093" w:rsidRPr="00182083" w:rsidRDefault="007B2093" w:rsidP="00182083">
            <w:pPr>
              <w:tabs>
                <w:tab w:val="left" w:pos="993"/>
              </w:tabs>
              <w:contextualSpacing/>
              <w:jc w:val="both"/>
              <w:rPr>
                <w:color w:val="000000"/>
                <w:shd w:val="clear" w:color="auto" w:fill="FFFFFF"/>
              </w:rPr>
            </w:pPr>
            <w:r w:rsidRPr="00182083">
              <w:rPr>
                <w:color w:val="000000"/>
                <w:shd w:val="clear" w:color="auto" w:fill="FFFFFF"/>
              </w:rPr>
              <w:t xml:space="preserve">Все виды работ выполняются из материала Подрядчика. </w:t>
            </w:r>
          </w:p>
          <w:p w14:paraId="5F60EE93" w14:textId="77777777" w:rsidR="00FA2CBF" w:rsidRPr="003A04A9" w:rsidRDefault="007B2093" w:rsidP="00560ED6">
            <w:pPr>
              <w:tabs>
                <w:tab w:val="left" w:pos="993"/>
              </w:tabs>
              <w:contextualSpacing/>
              <w:jc w:val="both"/>
              <w:rPr>
                <w:color w:val="000000"/>
                <w:shd w:val="clear" w:color="auto" w:fill="FFFFFF"/>
              </w:rPr>
            </w:pPr>
            <w:r w:rsidRPr="003A04A9">
              <w:rPr>
                <w:color w:val="000000"/>
                <w:shd w:val="clear" w:color="auto" w:fill="FFFFFF"/>
              </w:rPr>
              <w:t>Подрядчик несет ответственность за соответствие используемых материалов государственным стандартам и техническим условиям, проектной документации за достоверность сведений о стране происхождения, за сохранность всех поставленных для реализации договора</w:t>
            </w:r>
          </w:p>
          <w:p w14:paraId="648EC8D4" w14:textId="24AD72D1" w:rsidR="007B2093" w:rsidRPr="003A04A9" w:rsidRDefault="007B2093" w:rsidP="00560ED6">
            <w:pPr>
              <w:tabs>
                <w:tab w:val="left" w:pos="993"/>
              </w:tabs>
              <w:contextualSpacing/>
              <w:jc w:val="both"/>
              <w:rPr>
                <w:color w:val="000000"/>
                <w:shd w:val="clear" w:color="auto" w:fill="FFFFFF"/>
              </w:rPr>
            </w:pPr>
            <w:r w:rsidRPr="003A04A9">
              <w:rPr>
                <w:color w:val="000000"/>
                <w:shd w:val="clear" w:color="auto" w:fill="FFFFFF"/>
              </w:rPr>
              <w:t xml:space="preserve"> материалов и оборудования до сдачи работ по акту сдачи-приемки </w:t>
            </w:r>
            <w:r w:rsidR="00C17521" w:rsidRPr="003A04A9">
              <w:rPr>
                <w:color w:val="000000"/>
                <w:shd w:val="clear" w:color="auto" w:fill="FFFFFF"/>
              </w:rPr>
              <w:t>в</w:t>
            </w:r>
            <w:r w:rsidRPr="003A04A9">
              <w:rPr>
                <w:color w:val="000000"/>
                <w:shd w:val="clear" w:color="auto" w:fill="FFFFFF"/>
              </w:rPr>
              <w:t xml:space="preserve">ыполненных работ. Подрядчик обязан представить Заказчику данные о выбранных им материалах и оборудования (включая соответствующие паспорта, сертификаты соответствия нормам РФ, сертификаты соответствия нормам РФ, сертификаты соответствия экологическим нормам), получить его одобрение на их применение и использование. </w:t>
            </w:r>
          </w:p>
          <w:p w14:paraId="6F6AAD23" w14:textId="58B5DAE8" w:rsidR="003A04A9" w:rsidRPr="0061110D" w:rsidRDefault="007B2093" w:rsidP="003A04A9">
            <w:pPr>
              <w:tabs>
                <w:tab w:val="left" w:pos="993"/>
              </w:tabs>
              <w:contextualSpacing/>
              <w:jc w:val="both"/>
              <w:rPr>
                <w:color w:val="000000"/>
                <w:shd w:val="clear" w:color="auto" w:fill="FFFFFF"/>
              </w:rPr>
            </w:pPr>
            <w:r w:rsidRPr="003A04A9">
              <w:rPr>
                <w:color w:val="000000"/>
                <w:shd w:val="clear" w:color="auto" w:fill="FFFFFF"/>
              </w:rPr>
              <w:t xml:space="preserve">Общие требования к работам и товарам, используемым при выполнении работ, являющимся приложением к настоящему техническому заданию и неотъемлемой его частью.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При применении материалов, не соответствующих </w:t>
            </w:r>
            <w:proofErr w:type="gramStart"/>
            <w:r w:rsidRPr="003A04A9">
              <w:rPr>
                <w:color w:val="000000"/>
                <w:shd w:val="clear" w:color="auto" w:fill="FFFFFF"/>
              </w:rPr>
              <w:t>указанным нормам и требованиям</w:t>
            </w:r>
            <w:proofErr w:type="gramEnd"/>
            <w:r w:rsidRPr="003A04A9">
              <w:rPr>
                <w:color w:val="000000"/>
                <w:shd w:val="clear" w:color="auto" w:fill="FFFFFF"/>
              </w:rPr>
              <w:t xml:space="preserve"> Заказчик оставляет за собой право предъявить претензии к Подрядчику с наложением штрафных санкций при исполнении договора.</w:t>
            </w:r>
            <w:r w:rsidR="00FA2CBF" w:rsidRPr="003A04A9">
              <w:rPr>
                <w:color w:val="000000"/>
                <w:shd w:val="clear" w:color="auto" w:fill="FFFFFF"/>
              </w:rPr>
              <w:t xml:space="preserve"> </w:t>
            </w:r>
          </w:p>
        </w:tc>
      </w:tr>
      <w:tr w:rsidR="0061110D" w:rsidRPr="001E3E91" w14:paraId="7E7C9173" w14:textId="77777777" w:rsidTr="001E0729">
        <w:tc>
          <w:tcPr>
            <w:tcW w:w="801" w:type="dxa"/>
          </w:tcPr>
          <w:p w14:paraId="344A0C51" w14:textId="1572BB10" w:rsidR="0061110D" w:rsidRDefault="0061110D" w:rsidP="00560ED6">
            <w:pPr>
              <w:tabs>
                <w:tab w:val="left" w:pos="993"/>
              </w:tabs>
              <w:contextualSpacing/>
              <w:jc w:val="center"/>
              <w:rPr>
                <w:b/>
              </w:rPr>
            </w:pPr>
            <w:r>
              <w:rPr>
                <w:b/>
              </w:rPr>
              <w:lastRenderedPageBreak/>
              <w:t>10</w:t>
            </w:r>
          </w:p>
        </w:tc>
        <w:tc>
          <w:tcPr>
            <w:tcW w:w="2512" w:type="dxa"/>
          </w:tcPr>
          <w:p w14:paraId="17C757C5" w14:textId="63825F8C" w:rsidR="0061110D" w:rsidRPr="001E3E91" w:rsidRDefault="0061110D" w:rsidP="00560ED6">
            <w:pPr>
              <w:tabs>
                <w:tab w:val="left" w:pos="993"/>
              </w:tabs>
              <w:contextualSpacing/>
              <w:jc w:val="both"/>
              <w:rPr>
                <w:b/>
              </w:rPr>
            </w:pPr>
            <w:r>
              <w:rPr>
                <w:b/>
              </w:rPr>
              <w:t>Гарантия</w:t>
            </w:r>
          </w:p>
        </w:tc>
        <w:tc>
          <w:tcPr>
            <w:tcW w:w="6605" w:type="dxa"/>
          </w:tcPr>
          <w:p w14:paraId="557ED9F6" w14:textId="746D4B77" w:rsidR="0061110D" w:rsidRDefault="0061110D" w:rsidP="0061110D">
            <w:pPr>
              <w:tabs>
                <w:tab w:val="left" w:pos="993"/>
              </w:tabs>
              <w:contextualSpacing/>
              <w:jc w:val="both"/>
              <w:rPr>
                <w:color w:val="000000"/>
                <w:shd w:val="clear" w:color="auto" w:fill="FFFFFF"/>
              </w:rPr>
            </w:pPr>
            <w:r w:rsidRPr="0061110D">
              <w:rPr>
                <w:color w:val="000000"/>
                <w:shd w:val="clear" w:color="auto" w:fill="FFFFFF"/>
              </w:rPr>
              <w:t xml:space="preserve">Подрядчик гарантирует, что техническое состояние строительных конструкций и оборудования после приемки работ по усилению грунтов основания не должно ухудшаться по сравнению с результатами исполнительных съемок, выполненных после завершения работ в соответствии с п. 5.1. Договора (вертикальные и горизонтальные отклонения строительных конструкций и параметры существующих дефектов (деформаций, трещин, разломов, и прочих) не должны изменяться по сравнению параметрами, зафиксированными в Акте №2, подписанным в соответствии с п.5.1 </w:t>
            </w:r>
            <w:r>
              <w:rPr>
                <w:color w:val="000000"/>
                <w:shd w:val="clear" w:color="auto" w:fill="FFFFFF"/>
              </w:rPr>
              <w:t xml:space="preserve">приложенного </w:t>
            </w:r>
            <w:r w:rsidRPr="0061110D">
              <w:rPr>
                <w:color w:val="000000"/>
                <w:shd w:val="clear" w:color="auto" w:fill="FFFFFF"/>
              </w:rPr>
              <w:t>Договора, более чем на предельные допустимые отклонения, указанные в Приложении №1</w:t>
            </w:r>
            <w:r>
              <w:rPr>
                <w:color w:val="000000"/>
                <w:shd w:val="clear" w:color="auto" w:fill="FFFFFF"/>
              </w:rPr>
              <w:t xml:space="preserve"> к договору.</w:t>
            </w:r>
            <w:bookmarkStart w:id="2" w:name="_GoBack"/>
            <w:bookmarkEnd w:id="2"/>
          </w:p>
        </w:tc>
      </w:tr>
      <w:bookmarkEnd w:id="0"/>
    </w:tbl>
    <w:p w14:paraId="6FBDB846" w14:textId="7A5D4BCB" w:rsidR="00CA3D4F" w:rsidRPr="000C2F6E" w:rsidRDefault="00CA3D4F" w:rsidP="00CA3D4F">
      <w:pPr>
        <w:tabs>
          <w:tab w:val="left" w:pos="993"/>
        </w:tabs>
        <w:contextualSpacing/>
        <w:jc w:val="center"/>
        <w:rPr>
          <w:rFonts w:asciiTheme="minorHAnsi" w:hAnsiTheme="minorHAnsi" w:cstheme="minorHAnsi"/>
          <w:b/>
          <w:u w:val="single"/>
        </w:rPr>
      </w:pPr>
    </w:p>
    <w:sectPr w:rsidR="00CA3D4F" w:rsidRPr="000C2F6E" w:rsidSect="001E0729">
      <w:footerReference w:type="even" r:id="rId8"/>
      <w:footerReference w:type="default" r:id="rId9"/>
      <w:footerReference w:type="first" r:id="rId10"/>
      <w:pgSz w:w="11906" w:h="16838"/>
      <w:pgMar w:top="1134" w:right="14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23F9" w14:textId="77777777" w:rsidR="004E0DE4" w:rsidRDefault="004E0DE4">
      <w:r>
        <w:separator/>
      </w:r>
    </w:p>
  </w:endnote>
  <w:endnote w:type="continuationSeparator" w:id="0">
    <w:p w14:paraId="6DF139C8" w14:textId="77777777" w:rsidR="004E0DE4" w:rsidRDefault="004E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panose1 w:val="020B0406020202030204"/>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8464" w14:textId="77777777" w:rsidR="002552F5" w:rsidRPr="002552F5" w:rsidRDefault="002552F5" w:rsidP="002552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4B0A" w14:textId="77777777" w:rsidR="004E0DE4" w:rsidRDefault="004E0DE4">
      <w:r>
        <w:separator/>
      </w:r>
    </w:p>
  </w:footnote>
  <w:footnote w:type="continuationSeparator" w:id="0">
    <w:p w14:paraId="38C0109E" w14:textId="77777777" w:rsidR="004E0DE4" w:rsidRDefault="004E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DA7807"/>
    <w:multiLevelType w:val="hybridMultilevel"/>
    <w:tmpl w:val="365CB086"/>
    <w:lvl w:ilvl="0" w:tplc="6A188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6" w15:restartNumberingAfterBreak="0">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2"/>
  </w:num>
  <w:num w:numId="2">
    <w:abstractNumId w:val="7"/>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16"/>
  </w:num>
  <w:num w:numId="16">
    <w:abstractNumId w:val="30"/>
  </w:num>
  <w:num w:numId="17">
    <w:abstractNumId w:val="29"/>
  </w:num>
  <w:num w:numId="18">
    <w:abstractNumId w:val="5"/>
  </w:num>
  <w:num w:numId="19">
    <w:abstractNumId w:val="27"/>
  </w:num>
  <w:num w:numId="20">
    <w:abstractNumId w:val="1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0"/>
  </w:num>
  <w:num w:numId="25">
    <w:abstractNumId w:val="24"/>
  </w:num>
  <w:num w:numId="26">
    <w:abstractNumId w:val="2"/>
  </w:num>
  <w:num w:numId="27">
    <w:abstractNumId w:val="1"/>
  </w:num>
  <w:num w:numId="28">
    <w:abstractNumId w:val="14"/>
  </w:num>
  <w:num w:numId="29">
    <w:abstractNumId w:val="9"/>
  </w:num>
  <w:num w:numId="30">
    <w:abstractNumId w:val="0"/>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58"/>
    <w:rsid w:val="00013DE2"/>
    <w:rsid w:val="00017211"/>
    <w:rsid w:val="000836A4"/>
    <w:rsid w:val="000C2F6E"/>
    <w:rsid w:val="000E0821"/>
    <w:rsid w:val="000F280A"/>
    <w:rsid w:val="00100B67"/>
    <w:rsid w:val="00163AB2"/>
    <w:rsid w:val="001724D1"/>
    <w:rsid w:val="00182083"/>
    <w:rsid w:val="001A40E9"/>
    <w:rsid w:val="001B16AE"/>
    <w:rsid w:val="001C25FC"/>
    <w:rsid w:val="001E0729"/>
    <w:rsid w:val="001E3E91"/>
    <w:rsid w:val="001E57D5"/>
    <w:rsid w:val="001F0CC5"/>
    <w:rsid w:val="001F20E9"/>
    <w:rsid w:val="0020044B"/>
    <w:rsid w:val="00226E60"/>
    <w:rsid w:val="00237C84"/>
    <w:rsid w:val="002552F5"/>
    <w:rsid w:val="00261D4B"/>
    <w:rsid w:val="002869CF"/>
    <w:rsid w:val="002A29CD"/>
    <w:rsid w:val="002D3A22"/>
    <w:rsid w:val="00316213"/>
    <w:rsid w:val="003A04A9"/>
    <w:rsid w:val="003A0977"/>
    <w:rsid w:val="0041081E"/>
    <w:rsid w:val="00413061"/>
    <w:rsid w:val="00417D70"/>
    <w:rsid w:val="00451E20"/>
    <w:rsid w:val="00472480"/>
    <w:rsid w:val="00481B58"/>
    <w:rsid w:val="00494E8C"/>
    <w:rsid w:val="004D29D7"/>
    <w:rsid w:val="004D4537"/>
    <w:rsid w:val="004E0DE4"/>
    <w:rsid w:val="0050248D"/>
    <w:rsid w:val="0052148F"/>
    <w:rsid w:val="00560187"/>
    <w:rsid w:val="00560ED6"/>
    <w:rsid w:val="00562124"/>
    <w:rsid w:val="00573235"/>
    <w:rsid w:val="005F6F44"/>
    <w:rsid w:val="0061110D"/>
    <w:rsid w:val="00631E69"/>
    <w:rsid w:val="00656E4C"/>
    <w:rsid w:val="006C6AD2"/>
    <w:rsid w:val="006E5472"/>
    <w:rsid w:val="006F475A"/>
    <w:rsid w:val="007046E2"/>
    <w:rsid w:val="00704EE9"/>
    <w:rsid w:val="00711C3A"/>
    <w:rsid w:val="00712D91"/>
    <w:rsid w:val="00732D06"/>
    <w:rsid w:val="007812A2"/>
    <w:rsid w:val="007B2093"/>
    <w:rsid w:val="007D742C"/>
    <w:rsid w:val="0080697F"/>
    <w:rsid w:val="008637EF"/>
    <w:rsid w:val="00876257"/>
    <w:rsid w:val="008D2632"/>
    <w:rsid w:val="008E755A"/>
    <w:rsid w:val="008F319A"/>
    <w:rsid w:val="00910DEB"/>
    <w:rsid w:val="00916025"/>
    <w:rsid w:val="00923256"/>
    <w:rsid w:val="00930BF8"/>
    <w:rsid w:val="00945B62"/>
    <w:rsid w:val="00950129"/>
    <w:rsid w:val="009A12BB"/>
    <w:rsid w:val="00A5373B"/>
    <w:rsid w:val="00A80E68"/>
    <w:rsid w:val="00AD41C6"/>
    <w:rsid w:val="00B03F6E"/>
    <w:rsid w:val="00B256E0"/>
    <w:rsid w:val="00B80010"/>
    <w:rsid w:val="00BC36C6"/>
    <w:rsid w:val="00BD733F"/>
    <w:rsid w:val="00C01CEE"/>
    <w:rsid w:val="00C17521"/>
    <w:rsid w:val="00C37A7E"/>
    <w:rsid w:val="00C52DA8"/>
    <w:rsid w:val="00C75D5B"/>
    <w:rsid w:val="00C96D7E"/>
    <w:rsid w:val="00CA2C97"/>
    <w:rsid w:val="00CA3D4F"/>
    <w:rsid w:val="00CB0E30"/>
    <w:rsid w:val="00CE3D49"/>
    <w:rsid w:val="00D24EA8"/>
    <w:rsid w:val="00D33752"/>
    <w:rsid w:val="00D710A2"/>
    <w:rsid w:val="00D87D73"/>
    <w:rsid w:val="00DA4B2C"/>
    <w:rsid w:val="00DB6773"/>
    <w:rsid w:val="00E23424"/>
    <w:rsid w:val="00E7344D"/>
    <w:rsid w:val="00E87774"/>
    <w:rsid w:val="00EA7F3C"/>
    <w:rsid w:val="00EC2526"/>
    <w:rsid w:val="00F01445"/>
    <w:rsid w:val="00F12679"/>
    <w:rsid w:val="00F26A84"/>
    <w:rsid w:val="00F33DCE"/>
    <w:rsid w:val="00F34D36"/>
    <w:rsid w:val="00F7021A"/>
    <w:rsid w:val="00F87D30"/>
    <w:rsid w:val="00F919BD"/>
    <w:rsid w:val="00FA2CBF"/>
    <w:rsid w:val="00FB1CAE"/>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15:docId w15:val="{A7D85AAB-195A-415D-A699-EAB231F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E3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Заголовок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4367-89B7-4A01-B1F8-3900EDA2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samoylenko@buxgipc.local</dc:creator>
  <cp:keywords/>
  <dc:description/>
  <cp:lastModifiedBy>napolskih@buxgipc.local</cp:lastModifiedBy>
  <cp:revision>2</cp:revision>
  <dcterms:created xsi:type="dcterms:W3CDTF">2019-11-26T12:53:00Z</dcterms:created>
  <dcterms:modified xsi:type="dcterms:W3CDTF">2019-11-26T12:53:00Z</dcterms:modified>
</cp:coreProperties>
</file>