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EB66ED" w:rsidRPr="00EB66ED" w:rsidRDefault="00D90455" w:rsidP="00B63FEE">
      <w:pPr>
        <w:autoSpaceDE w:val="0"/>
        <w:spacing w:after="0"/>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w:t>
      </w:r>
      <w:r w:rsidR="009944D0">
        <w:rPr>
          <w:rFonts w:ascii="Times New Roman" w:hAnsi="Times New Roman" w:cs="Times New Roman"/>
          <w:b/>
          <w:sz w:val="28"/>
          <w:szCs w:val="28"/>
        </w:rPr>
        <w:t xml:space="preserve">договора </w:t>
      </w:r>
      <w:r w:rsidR="00EB66ED" w:rsidRPr="00EB66ED">
        <w:rPr>
          <w:rFonts w:ascii="Times New Roman" w:hAnsi="Times New Roman" w:cs="Times New Roman"/>
          <w:b/>
          <w:sz w:val="28"/>
          <w:szCs w:val="28"/>
        </w:rPr>
        <w:t xml:space="preserve">на выполнение работ по замене </w:t>
      </w:r>
      <w:r w:rsidR="00F97DB4">
        <w:rPr>
          <w:rFonts w:ascii="Times New Roman" w:hAnsi="Times New Roman" w:cs="Times New Roman"/>
          <w:b/>
          <w:sz w:val="28"/>
          <w:szCs w:val="28"/>
        </w:rPr>
        <w:t>комплекта зап</w:t>
      </w:r>
      <w:r w:rsidR="00B63FEE">
        <w:rPr>
          <w:rFonts w:ascii="Times New Roman" w:hAnsi="Times New Roman" w:cs="Times New Roman"/>
          <w:b/>
          <w:sz w:val="28"/>
          <w:szCs w:val="28"/>
        </w:rPr>
        <w:t xml:space="preserve">асных </w:t>
      </w:r>
      <w:r w:rsidR="00F97DB4">
        <w:rPr>
          <w:rFonts w:ascii="Times New Roman" w:hAnsi="Times New Roman" w:cs="Times New Roman"/>
          <w:b/>
          <w:sz w:val="28"/>
          <w:szCs w:val="28"/>
        </w:rPr>
        <w:t xml:space="preserve">частей </w:t>
      </w:r>
      <w:r w:rsidR="00EB66ED" w:rsidRPr="00EB66ED">
        <w:rPr>
          <w:rFonts w:ascii="Times New Roman" w:hAnsi="Times New Roman" w:cs="Times New Roman"/>
          <w:b/>
          <w:sz w:val="28"/>
          <w:szCs w:val="28"/>
        </w:rPr>
        <w:t>камеры сгорания печи АР450 №</w:t>
      </w:r>
      <w:r w:rsidR="00F97DB4">
        <w:rPr>
          <w:rFonts w:ascii="Times New Roman" w:hAnsi="Times New Roman" w:cs="Times New Roman"/>
          <w:b/>
          <w:sz w:val="28"/>
          <w:szCs w:val="28"/>
        </w:rPr>
        <w:t xml:space="preserve">2 цеха </w:t>
      </w:r>
      <w:r w:rsidR="001A33E4">
        <w:rPr>
          <w:rFonts w:ascii="Times New Roman" w:hAnsi="Times New Roman" w:cs="Times New Roman"/>
          <w:b/>
          <w:sz w:val="28"/>
          <w:szCs w:val="28"/>
        </w:rPr>
        <w:t>гипсового вяжущего</w:t>
      </w:r>
      <w:r w:rsidR="00EB66ED" w:rsidRPr="00EB66ED">
        <w:rPr>
          <w:rFonts w:ascii="Times New Roman" w:hAnsi="Times New Roman" w:cs="Times New Roman"/>
          <w:b/>
          <w:sz w:val="28"/>
          <w:szCs w:val="28"/>
        </w:rPr>
        <w:t xml:space="preserve"> для нужд производственной площадки ВОЛМА-Воскресенск</w:t>
      </w:r>
    </w:p>
    <w:p w:rsidR="00EB66ED" w:rsidRPr="00EB66ED" w:rsidRDefault="00EB66ED" w:rsidP="00EB66ED">
      <w:pPr>
        <w:autoSpaceDE w:val="0"/>
        <w:jc w:val="center"/>
        <w:rPr>
          <w:rFonts w:ascii="Times New Roman" w:hAnsi="Times New Roman" w:cs="Times New Roman"/>
          <w:b/>
          <w:sz w:val="28"/>
          <w:szCs w:val="28"/>
        </w:rPr>
      </w:pPr>
    </w:p>
    <w:p w:rsidR="00D90455" w:rsidRPr="00C32E0C" w:rsidRDefault="00D90455" w:rsidP="00EB66ED">
      <w:pPr>
        <w:autoSpaceDE w:val="0"/>
        <w:jc w:val="center"/>
        <w:rPr>
          <w:rFonts w:ascii="Times New Roman" w:hAnsi="Times New Roman" w:cs="Times New Roman"/>
          <w:b/>
          <w:noProof/>
          <w:color w:val="000000"/>
          <w:sz w:val="28"/>
          <w:szCs w:val="28"/>
        </w:rPr>
      </w:pPr>
    </w:p>
    <w:p w:rsidR="00D90455" w:rsidRDefault="00D90455" w:rsidP="00D90455">
      <w:pPr>
        <w:jc w:val="center"/>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Default="00EB66ED" w:rsidP="00946A8D">
      <w:pPr>
        <w:tabs>
          <w:tab w:val="left" w:pos="6840"/>
        </w:tabs>
        <w:spacing w:after="0" w:line="360" w:lineRule="auto"/>
        <w:rPr>
          <w:rFonts w:ascii="Times New Roman" w:hAnsi="Times New Roman" w:cs="Times New Roman"/>
          <w:b/>
          <w:noProof/>
          <w:color w:val="000000"/>
          <w:sz w:val="28"/>
          <w:szCs w:val="28"/>
        </w:rPr>
      </w:pPr>
    </w:p>
    <w:p w:rsidR="00F97DB4" w:rsidRPr="009944D0" w:rsidRDefault="00F97DB4" w:rsidP="00946A8D">
      <w:pPr>
        <w:tabs>
          <w:tab w:val="left" w:pos="6840"/>
        </w:tabs>
        <w:spacing w:after="0" w:line="360" w:lineRule="auto"/>
        <w:rPr>
          <w:rFonts w:ascii="Times New Roman" w:hAnsi="Times New Roman" w:cs="Times New Roman"/>
          <w:b/>
          <w:noProof/>
          <w:color w:val="000000"/>
          <w:sz w:val="28"/>
          <w:szCs w:val="28"/>
        </w:rPr>
      </w:pPr>
    </w:p>
    <w:p w:rsidR="00946A8D" w:rsidRPr="00121EBC" w:rsidRDefault="00EB66ED" w:rsidP="00946A8D">
      <w:pPr>
        <w:tabs>
          <w:tab w:val="left" w:pos="6840"/>
        </w:tabs>
        <w:spacing w:after="0" w:line="360" w:lineRule="auto"/>
        <w:rPr>
          <w:rFonts w:ascii="Times New Roman" w:hAnsi="Times New Roman" w:cs="Times New Roman"/>
          <w:b/>
          <w:noProof/>
        </w:rPr>
      </w:pPr>
      <w:r w:rsidRPr="009944D0">
        <w:rPr>
          <w:rFonts w:ascii="Times New Roman" w:hAnsi="Times New Roman" w:cs="Times New Roman"/>
          <w:b/>
          <w:noProof/>
          <w:color w:val="000000"/>
          <w:sz w:val="28"/>
          <w:szCs w:val="28"/>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201</w:t>
      </w:r>
      <w:r w:rsidR="00F97DB4">
        <w:rPr>
          <w:rFonts w:ascii="Times New Roman" w:hAnsi="Times New Roman" w:cs="Times New Roman"/>
          <w:b/>
          <w:noProof/>
        </w:rPr>
        <w:t>9</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B53B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w:t>
      </w:r>
    </w:p>
    <w:p w:rsidR="00514A5C" w:rsidRPr="00E36FBC" w:rsidRDefault="00FD1BD7"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.ru</w:t>
        </w:r>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 xml:space="preserve">клонение (недопуск)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 xml:space="preserve">Отклонение (недопуск)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r w:rsidR="00832C91" w:rsidRPr="00E36FBC">
        <w:rPr>
          <w:b w:val="0"/>
          <w:sz w:val="22"/>
          <w:szCs w:val="22"/>
        </w:rPr>
        <w:t xml:space="preserve">Тендерной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предоставил </w:t>
      </w:r>
      <w:r w:rsidR="007A2297" w:rsidRPr="00E36FBC">
        <w:rPr>
          <w:rFonts w:ascii="Times New Roman" w:eastAsia="Times New Roman" w:hAnsi="Times New Roman" w:cs="Times New Roman"/>
          <w:bCs/>
        </w:rPr>
        <w:t>документы,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3D76F4">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РФ, г Волгоград,  ул. Крепильная, 128.</w:t>
            </w:r>
          </w:p>
          <w:p w:rsidR="00CC1946" w:rsidRPr="00E36FBC" w:rsidRDefault="00CC1946" w:rsidP="003D76F4">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3D76F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+7(8442) 41-44-91 E-mail:</w:t>
            </w:r>
            <w:r w:rsidRPr="009605C7">
              <w:rPr>
                <w:rFonts w:ascii="Times New Roman" w:eastAsia="Times New Roman" w:hAnsi="Times New Roman" w:cs="Times New Roman"/>
                <w:color w:val="0000FF"/>
                <w:lang w:val="en-US"/>
              </w:rPr>
              <w:t xml:space="preserve"> </w:t>
            </w:r>
            <w:hyperlink r:id="rId12" w:history="1">
              <w:r w:rsidRPr="009605C7">
                <w:rPr>
                  <w:rFonts w:ascii="Times New Roman" w:eastAsia="Times New Roman" w:hAnsi="Times New Roman" w:cs="Times New Roman"/>
                  <w:color w:val="0000FF"/>
                  <w:u w:val="single"/>
                  <w:lang w:val="en-US"/>
                </w:rPr>
                <w:t>tender@volma.ru</w:t>
              </w:r>
            </w:hyperlink>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Дегтярева Наталья Сергеевна, специалист отдела организации тендеров,</w:t>
            </w:r>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 xml:space="preserve">тел.: +7(8442) 49-39-39 доб.11-10 E-mail: </w:t>
            </w:r>
            <w:hyperlink r:id="rId13" w:history="1">
              <w:r w:rsidRPr="009605C7">
                <w:rPr>
                  <w:rFonts w:ascii="Times New Roman" w:eastAsia="Times New Roman" w:hAnsi="Times New Roman" w:cs="Times New Roman"/>
                  <w:color w:val="0000FF"/>
                  <w:u w:val="single"/>
                </w:rPr>
                <w:t>tender@volma.ru</w:t>
              </w:r>
            </w:hyperlink>
          </w:p>
          <w:p w:rsidR="00946A8D" w:rsidRPr="00121EBC" w:rsidRDefault="00946A8D"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121EBC">
              <w:rPr>
                <w:rFonts w:ascii="Times New Roman" w:eastAsia="Times New Roman" w:hAnsi="Times New Roman" w:cs="Times New Roman"/>
                <w:i/>
                <w:u w:val="single"/>
              </w:rPr>
              <w:t>По техническим вопросам:</w:t>
            </w:r>
          </w:p>
          <w:p w:rsidR="00433CF4" w:rsidRPr="00433CF4" w:rsidRDefault="00433CF4" w:rsidP="00433CF4">
            <w:pPr>
              <w:overflowPunct w:val="0"/>
              <w:autoSpaceDE w:val="0"/>
              <w:autoSpaceDN w:val="0"/>
              <w:adjustRightInd w:val="0"/>
              <w:spacing w:after="0"/>
              <w:jc w:val="both"/>
              <w:textAlignment w:val="baseline"/>
              <w:rPr>
                <w:rFonts w:ascii="Times New Roman" w:hAnsi="Times New Roman" w:cs="Times New Roman"/>
              </w:rPr>
            </w:pPr>
            <w:r w:rsidRPr="00433CF4">
              <w:rPr>
                <w:rFonts w:ascii="Times New Roman" w:hAnsi="Times New Roman" w:cs="Times New Roman"/>
              </w:rPr>
              <w:t>Захаров Александр Валерьевич, механик,</w:t>
            </w:r>
          </w:p>
          <w:p w:rsidR="00EB66ED" w:rsidRPr="00EB66ED" w:rsidRDefault="00433CF4" w:rsidP="00462C8E">
            <w:pPr>
              <w:overflowPunct w:val="0"/>
              <w:autoSpaceDE w:val="0"/>
              <w:autoSpaceDN w:val="0"/>
              <w:adjustRightInd w:val="0"/>
              <w:spacing w:after="0"/>
              <w:jc w:val="both"/>
              <w:textAlignment w:val="baseline"/>
              <w:rPr>
                <w:rFonts w:ascii="Times New Roman" w:hAnsi="Times New Roman" w:cs="Times New Roman"/>
              </w:rPr>
            </w:pPr>
            <w:r w:rsidRPr="00433CF4">
              <w:rPr>
                <w:rFonts w:ascii="Times New Roman" w:hAnsi="Times New Roman" w:cs="Times New Roman"/>
              </w:rPr>
              <w:t>тел.:8-(903)-616-70-49.</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3D76F4" w:rsidRDefault="003D76F4" w:rsidP="00946A8D">
            <w:pPr>
              <w:spacing w:after="0"/>
              <w:ind w:firstLine="16"/>
              <w:rPr>
                <w:rFonts w:ascii="Times New Roman" w:eastAsia="Times New Roman" w:hAnsi="Times New Roman" w:cs="Times New Roman"/>
                <w:lang w:eastAsia="ar-SA"/>
              </w:rPr>
            </w:pPr>
            <w:r w:rsidRPr="003D76F4">
              <w:rPr>
                <w:rFonts w:ascii="Times New Roman" w:hAnsi="Times New Roman" w:cs="Times New Roman"/>
              </w:rPr>
              <w:t>ООО «ВОЛМА-Воскресенск», г. Воскресенск, ул. Кирова д.1стр.3.</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433CF4" w:rsidRDefault="00C32E0C" w:rsidP="00433CF4">
            <w:pPr>
              <w:autoSpaceDE w:val="0"/>
              <w:spacing w:after="0"/>
              <w:jc w:val="both"/>
              <w:rPr>
                <w:rFonts w:ascii="Times New Roman" w:hAnsi="Times New Roman" w:cs="Times New Roman"/>
                <w:bCs/>
              </w:rPr>
            </w:pPr>
            <w:r w:rsidRPr="00C27C22">
              <w:rPr>
                <w:b/>
                <w:bCs/>
              </w:rPr>
              <w:t xml:space="preserve"> </w:t>
            </w:r>
            <w:r w:rsidR="00433CF4" w:rsidRPr="00433CF4">
              <w:rPr>
                <w:rFonts w:ascii="Times New Roman" w:hAnsi="Times New Roman" w:cs="Times New Roman"/>
                <w:bCs/>
              </w:rPr>
              <w:t>Выполнение работ по замене комплекта запасных частей,  камеры сгорания печи АР-450 №2 в цехе гипсового вяжущего для нужд ПП ВОЛМА-Воскресенск.</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Место проведения работ</w:t>
            </w:r>
            <w:r w:rsidR="003D76F4">
              <w:rPr>
                <w:rFonts w:ascii="Times New Roman" w:hAnsi="Times New Roman" w:cs="Times New Roman"/>
                <w:b/>
              </w:rPr>
              <w:t>:</w:t>
            </w:r>
            <w:r w:rsidR="003D76F4" w:rsidRPr="003D76F4">
              <w:rPr>
                <w:rFonts w:ascii="Times New Roman" w:hAnsi="Times New Roman" w:cs="Times New Roman"/>
              </w:rPr>
              <w:t>ООО «ВОЛМА-Воскресенск», г. Воскресенск, ул. Кирова д.1стр.3.</w:t>
            </w:r>
          </w:p>
          <w:p w:rsidR="00E36FBC" w:rsidRPr="00946A8D" w:rsidRDefault="00E36FBC" w:rsidP="00253873">
            <w:pPr>
              <w:spacing w:after="0"/>
              <w:jc w:val="both"/>
              <w:rPr>
                <w:rFonts w:ascii="Times New Roman" w:eastAsia="Times New Roman" w:hAnsi="Times New Roman" w:cs="Times New Roman"/>
              </w:rPr>
            </w:pPr>
            <w:r w:rsidRPr="00E36FBC">
              <w:rPr>
                <w:rFonts w:ascii="Times New Roman" w:eastAsia="Times New Roman" w:hAnsi="Times New Roman" w:cs="Times New Roman"/>
                <w:b/>
              </w:rPr>
              <w:t>Срок выполнения работ:</w:t>
            </w:r>
            <w:r w:rsidR="00E2683D">
              <w:rPr>
                <w:rFonts w:ascii="Times New Roman" w:eastAsia="Times New Roman" w:hAnsi="Times New Roman" w:cs="Times New Roman"/>
              </w:rPr>
              <w:t xml:space="preserve"> </w:t>
            </w:r>
            <w:r w:rsidR="00433CF4" w:rsidRPr="00C0708E">
              <w:rPr>
                <w:rFonts w:ascii="Times New Roman" w:eastAsia="Times New Roman" w:hAnsi="Times New Roman" w:cs="Times New Roman"/>
                <w:b/>
                <w:i/>
              </w:rPr>
              <w:t>до 20.07.2019</w:t>
            </w:r>
            <w:r w:rsidR="00E2683D" w:rsidRPr="00C0708E">
              <w:rPr>
                <w:rFonts w:ascii="Times New Roman" w:eastAsia="Times New Roman" w:hAnsi="Times New Roman" w:cs="Times New Roman"/>
                <w:b/>
                <w:i/>
              </w:rPr>
              <w:t>г</w:t>
            </w:r>
            <w:r w:rsidR="00946A8D" w:rsidRPr="00C0708E">
              <w:rPr>
                <w:rFonts w:ascii="Times New Roman" w:eastAsia="Times New Roman" w:hAnsi="Times New Roman" w:cs="Times New Roman"/>
                <w:b/>
                <w:i/>
              </w:rPr>
              <w:t xml:space="preserve"> </w:t>
            </w:r>
            <w:r w:rsidRPr="00C0708E">
              <w:rPr>
                <w:rFonts w:ascii="Times New Roman" w:eastAsia="Times New Roman" w:hAnsi="Times New Roman" w:cs="Times New Roman"/>
                <w:b/>
                <w:i/>
              </w:rPr>
              <w:t>.</w:t>
            </w:r>
            <w:r w:rsidRPr="00E36FBC">
              <w:rPr>
                <w:rFonts w:ascii="Times New Roman" w:eastAsia="Times New Roman" w:hAnsi="Times New Roman" w:cs="Times New Roman"/>
              </w:rPr>
              <w:t xml:space="preserve"> </w:t>
            </w:r>
          </w:p>
          <w:p w:rsidR="009B4B6D" w:rsidRPr="00E36FBC" w:rsidRDefault="00BB3932" w:rsidP="00253873">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Не установлена</w:t>
            </w:r>
          </w:p>
        </w:tc>
      </w:tr>
      <w:tr w:rsidR="00BB3932" w:rsidRPr="00E36FBC" w:rsidTr="00121EBC">
        <w:trPr>
          <w:trHeight w:val="12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Отсутствие у участника тендера - физического лица либо у руководителя, членов коллегиального исполнительного органа или главного бухгалтера </w:t>
            </w:r>
            <w:r w:rsidRPr="00E36FBC">
              <w:rPr>
                <w:sz w:val="22"/>
                <w:szCs w:val="22"/>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Отсутствие сведений об участнике тендера в перечне «проблемных контрагентов» на сайте </w:t>
            </w:r>
            <w:hyperlink r:id="rId14"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D90455" w:rsidRPr="00E36FBC" w:rsidRDefault="00937252" w:rsidP="00121E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Порядок форм</w:t>
            </w:r>
            <w:r w:rsidR="001E5B39" w:rsidRPr="00E36FBC">
              <w:rPr>
                <w:rFonts w:ascii="Times New Roman" w:hAnsi="Times New Roman" w:cs="Times New Roman"/>
                <w:b/>
              </w:rPr>
              <w:t>и-рова</w:t>
            </w:r>
            <w:r w:rsidRPr="00E36FBC">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скан-копии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аименование файла скан-копии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7"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33CF4">
              <w:rPr>
                <w:rFonts w:ascii="Times New Roman" w:eastAsia="Times New Roman" w:hAnsi="Times New Roman" w:cs="Times New Roman"/>
                <w:b/>
                <w:lang w:eastAsia="ar-SA"/>
              </w:rPr>
              <w:t>24</w:t>
            </w:r>
            <w:r w:rsidR="00E36FBC" w:rsidRPr="00E36FBC">
              <w:rPr>
                <w:rFonts w:ascii="Times New Roman" w:eastAsia="Times New Roman" w:hAnsi="Times New Roman" w:cs="Times New Roman"/>
                <w:b/>
                <w:lang w:eastAsia="ar-SA"/>
              </w:rPr>
              <w:t xml:space="preserve">» </w:t>
            </w:r>
            <w:r w:rsidR="00433CF4">
              <w:rPr>
                <w:rFonts w:ascii="Times New Roman" w:eastAsia="Times New Roman" w:hAnsi="Times New Roman" w:cs="Times New Roman"/>
                <w:b/>
                <w:lang w:eastAsia="ar-SA"/>
              </w:rPr>
              <w:t>мая</w:t>
            </w:r>
            <w:r w:rsidR="00E36FBC" w:rsidRPr="00E36FBC">
              <w:rPr>
                <w:rFonts w:ascii="Times New Roman" w:eastAsia="Times New Roman" w:hAnsi="Times New Roman" w:cs="Times New Roman"/>
                <w:b/>
                <w:lang w:eastAsia="ar-SA"/>
              </w:rPr>
              <w:t xml:space="preserve"> 201</w:t>
            </w:r>
            <w:r w:rsidR="00433CF4">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433CF4">
              <w:rPr>
                <w:rFonts w:ascii="Times New Roman" w:eastAsia="Times New Roman" w:hAnsi="Times New Roman" w:cs="Times New Roman"/>
                <w:b/>
                <w:lang w:eastAsia="ar-SA"/>
              </w:rPr>
              <w:t>2</w:t>
            </w:r>
            <w:r w:rsidR="00E36FBC" w:rsidRPr="00E36FBC">
              <w:rPr>
                <w:rFonts w:ascii="Times New Roman" w:eastAsia="Times New Roman" w:hAnsi="Times New Roman" w:cs="Times New Roman"/>
                <w:b/>
                <w:lang w:eastAsia="ar-SA"/>
              </w:rPr>
              <w:t xml:space="preserve">:00 </w:t>
            </w:r>
            <w:r w:rsidR="00173C07">
              <w:rPr>
                <w:rFonts w:ascii="Times New Roman" w:eastAsia="Times New Roman" w:hAnsi="Times New Roman" w:cs="Times New Roman"/>
                <w:b/>
                <w:lang w:eastAsia="ar-SA"/>
              </w:rPr>
              <w:t xml:space="preserve"> </w:t>
            </w:r>
          </w:p>
          <w:p w:rsidR="009554F1" w:rsidRPr="00253873" w:rsidRDefault="009554F1"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33CF4">
              <w:rPr>
                <w:rFonts w:ascii="Times New Roman" w:eastAsia="Times New Roman" w:hAnsi="Times New Roman" w:cs="Times New Roman"/>
                <w:b/>
                <w:lang w:eastAsia="ar-SA"/>
              </w:rPr>
              <w:t>07</w:t>
            </w:r>
            <w:r w:rsidR="00E36FBC" w:rsidRPr="00E36FBC">
              <w:rPr>
                <w:rFonts w:ascii="Times New Roman" w:eastAsia="Times New Roman" w:hAnsi="Times New Roman" w:cs="Times New Roman"/>
                <w:b/>
                <w:lang w:eastAsia="ar-SA"/>
              </w:rPr>
              <w:t xml:space="preserve">» </w:t>
            </w:r>
            <w:r w:rsidR="00433CF4">
              <w:rPr>
                <w:rFonts w:ascii="Times New Roman" w:eastAsia="Times New Roman" w:hAnsi="Times New Roman" w:cs="Times New Roman"/>
                <w:b/>
                <w:lang w:eastAsia="ar-SA"/>
              </w:rPr>
              <w:t>июня</w:t>
            </w:r>
            <w:r w:rsidR="00E36FBC" w:rsidRPr="00E36FBC">
              <w:rPr>
                <w:rFonts w:ascii="Times New Roman" w:eastAsia="Times New Roman" w:hAnsi="Times New Roman" w:cs="Times New Roman"/>
                <w:b/>
                <w:lang w:eastAsia="ar-SA"/>
              </w:rPr>
              <w:t xml:space="preserve"> 201</w:t>
            </w:r>
            <w:r w:rsidR="00433CF4">
              <w:rPr>
                <w:rFonts w:ascii="Times New Roman" w:eastAsia="Times New Roman" w:hAnsi="Times New Roman" w:cs="Times New Roman"/>
                <w:b/>
                <w:lang w:eastAsia="ar-SA"/>
              </w:rPr>
              <w:t>9г.</w:t>
            </w:r>
            <w:r w:rsidR="00E36FBC" w:rsidRPr="00E36FBC">
              <w:rPr>
                <w:rFonts w:ascii="Times New Roman" w:eastAsia="Times New Roman" w:hAnsi="Times New Roman" w:cs="Times New Roman"/>
                <w:b/>
                <w:lang w:eastAsia="ar-SA"/>
              </w:rPr>
              <w:t>1</w:t>
            </w:r>
            <w:r w:rsidR="009554F1">
              <w:rPr>
                <w:rFonts w:ascii="Times New Roman" w:eastAsia="Times New Roman" w:hAnsi="Times New Roman" w:cs="Times New Roman"/>
                <w:b/>
                <w:lang w:eastAsia="ar-SA"/>
              </w:rPr>
              <w:t>6</w:t>
            </w:r>
            <w:r w:rsidR="00E36FBC" w:rsidRPr="00E36FBC">
              <w:rPr>
                <w:rFonts w:ascii="Times New Roman" w:eastAsia="Times New Roman" w:hAnsi="Times New Roman" w:cs="Times New Roman"/>
                <w:b/>
                <w:lang w:eastAsia="ar-SA"/>
              </w:rPr>
              <w:t xml:space="preserve">:00 </w:t>
            </w:r>
          </w:p>
          <w:p w:rsidR="009554F1" w:rsidRPr="00253873" w:rsidRDefault="009554F1"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433CF4">
              <w:rPr>
                <w:rFonts w:ascii="Times New Roman" w:eastAsia="Times New Roman" w:hAnsi="Times New Roman" w:cs="Times New Roman"/>
                <w:b/>
                <w:lang w:eastAsia="ar-SA"/>
              </w:rPr>
              <w:t>10</w:t>
            </w:r>
            <w:r w:rsidRPr="00E36FBC">
              <w:rPr>
                <w:rFonts w:ascii="Times New Roman" w:eastAsia="Times New Roman" w:hAnsi="Times New Roman" w:cs="Times New Roman"/>
                <w:b/>
                <w:lang w:eastAsia="ar-SA"/>
              </w:rPr>
              <w:t xml:space="preserve">» </w:t>
            </w:r>
            <w:r w:rsidR="00433CF4">
              <w:rPr>
                <w:rFonts w:ascii="Times New Roman" w:eastAsia="Times New Roman" w:hAnsi="Times New Roman" w:cs="Times New Roman"/>
                <w:b/>
                <w:lang w:eastAsia="ar-SA"/>
              </w:rPr>
              <w:t>июня</w:t>
            </w:r>
            <w:r w:rsidRPr="00E36FBC">
              <w:rPr>
                <w:rFonts w:ascii="Times New Roman" w:eastAsia="Times New Roman" w:hAnsi="Times New Roman" w:cs="Times New Roman"/>
                <w:b/>
                <w:lang w:eastAsia="ar-SA"/>
              </w:rPr>
              <w:t xml:space="preserve"> 201</w:t>
            </w:r>
            <w:r w:rsidR="00433CF4">
              <w:rPr>
                <w:rFonts w:ascii="Times New Roman" w:eastAsia="Times New Roman" w:hAnsi="Times New Roman" w:cs="Times New Roman"/>
                <w:b/>
                <w:lang w:eastAsia="ar-SA"/>
              </w:rPr>
              <w:t>9</w:t>
            </w:r>
            <w:r w:rsidRPr="00E36FBC">
              <w:rPr>
                <w:rFonts w:ascii="Times New Roman" w:eastAsia="Times New Roman" w:hAnsi="Times New Roman" w:cs="Times New Roman"/>
                <w:b/>
                <w:lang w:eastAsia="ar-SA"/>
              </w:rPr>
              <w:t xml:space="preserve">г.11:00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8"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433CF4">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433CF4">
              <w:rPr>
                <w:rFonts w:ascii="Times New Roman" w:hAnsi="Times New Roman" w:cs="Times New Roman"/>
                <w:b/>
              </w:rPr>
              <w:t>24</w:t>
            </w:r>
            <w:r w:rsidR="00A05111" w:rsidRPr="00E36FBC">
              <w:rPr>
                <w:rFonts w:ascii="Times New Roman" w:hAnsi="Times New Roman" w:cs="Times New Roman"/>
                <w:b/>
              </w:rPr>
              <w:t xml:space="preserve">» </w:t>
            </w:r>
            <w:r w:rsidR="00433CF4">
              <w:rPr>
                <w:rFonts w:ascii="Times New Roman" w:hAnsi="Times New Roman" w:cs="Times New Roman"/>
                <w:b/>
              </w:rPr>
              <w:t>мая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201</w:t>
            </w:r>
            <w:r w:rsidR="00433CF4">
              <w:rPr>
                <w:rFonts w:ascii="Times New Roman" w:hAnsi="Times New Roman" w:cs="Times New Roman"/>
                <w:b/>
              </w:rPr>
              <w:t>9</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433CF4">
              <w:rPr>
                <w:rFonts w:ascii="Times New Roman" w:hAnsi="Times New Roman" w:cs="Times New Roman"/>
                <w:b/>
              </w:rPr>
              <w:t>07</w:t>
            </w:r>
            <w:r w:rsidR="00A05111" w:rsidRPr="00E36FBC">
              <w:rPr>
                <w:rFonts w:ascii="Times New Roman" w:hAnsi="Times New Roman" w:cs="Times New Roman"/>
                <w:b/>
              </w:rPr>
              <w:t xml:space="preserve">» </w:t>
            </w:r>
            <w:r w:rsidR="00433CF4">
              <w:rPr>
                <w:rFonts w:ascii="Times New Roman" w:hAnsi="Times New Roman" w:cs="Times New Roman"/>
                <w:b/>
              </w:rPr>
              <w:t>июня</w:t>
            </w:r>
            <w:r w:rsidRPr="00E36FBC">
              <w:rPr>
                <w:rFonts w:ascii="Times New Roman" w:hAnsi="Times New Roman" w:cs="Times New Roman"/>
                <w:b/>
              </w:rPr>
              <w:t xml:space="preserve"> 201</w:t>
            </w:r>
            <w:r w:rsidR="00433CF4">
              <w:rPr>
                <w:rFonts w:ascii="Times New Roman" w:hAnsi="Times New Roman" w:cs="Times New Roman"/>
                <w:b/>
              </w:rPr>
              <w:t>9</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C63D9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33CF4">
              <w:rPr>
                <w:rFonts w:ascii="Times New Roman" w:eastAsia="Times New Roman" w:hAnsi="Times New Roman" w:cs="Times New Roman"/>
                <w:b/>
                <w:lang w:eastAsia="ar-SA"/>
              </w:rPr>
              <w:t>19</w:t>
            </w:r>
            <w:r w:rsidR="00E36FBC" w:rsidRPr="00E36FBC">
              <w:rPr>
                <w:rFonts w:ascii="Times New Roman" w:eastAsia="Times New Roman" w:hAnsi="Times New Roman" w:cs="Times New Roman"/>
                <w:b/>
                <w:lang w:eastAsia="ar-SA"/>
              </w:rPr>
              <w:t xml:space="preserve">» </w:t>
            </w:r>
            <w:r w:rsidR="00433CF4">
              <w:rPr>
                <w:rFonts w:ascii="Times New Roman" w:eastAsia="Times New Roman" w:hAnsi="Times New Roman" w:cs="Times New Roman"/>
                <w:b/>
                <w:lang w:eastAsia="ar-SA"/>
              </w:rPr>
              <w:t>июня</w:t>
            </w:r>
            <w:r w:rsidR="00E36FBC" w:rsidRPr="00E36FBC">
              <w:rPr>
                <w:rFonts w:ascii="Times New Roman" w:eastAsia="Times New Roman" w:hAnsi="Times New Roman" w:cs="Times New Roman"/>
                <w:b/>
                <w:lang w:eastAsia="ar-SA"/>
              </w:rPr>
              <w:t xml:space="preserve">  201</w:t>
            </w:r>
            <w:r w:rsidR="00433CF4">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11:00</w:t>
            </w:r>
          </w:p>
          <w:p w:rsidR="009554F1" w:rsidRPr="00253873" w:rsidRDefault="009554F1"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0" w:name="_Toc119343910"/>
      <w:r w:rsidRPr="00E36FBC">
        <w:rPr>
          <w:rFonts w:ascii="Times New Roman" w:eastAsiaTheme="minorHAnsi" w:hAnsi="Times New Roman" w:cs="Times New Roman"/>
          <w:b/>
          <w:bCs/>
          <w:lang w:eastAsia="en-US"/>
        </w:rPr>
        <w:t>ОПИСЬ ДОКУМЕНТОВ,</w:t>
      </w:r>
      <w:bookmarkEnd w:id="120"/>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r w:rsidRPr="00E36FBC">
        <w:rPr>
          <w:rFonts w:ascii="Times New Roman" w:eastAsiaTheme="minorHAnsi" w:hAnsi="Times New Roman" w:cs="Times New Roman"/>
          <w:b/>
          <w:lang w:eastAsia="en-US"/>
        </w:rPr>
        <w:t>на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п\п</w:t>
            </w:r>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9"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м.п.</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на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47"/>
        <w:gridCol w:w="1701"/>
        <w:gridCol w:w="2722"/>
      </w:tblGrid>
      <w:tr w:rsidR="009C6771" w:rsidRPr="00E36FBC" w:rsidTr="00AF5F24">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(цифрами и</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AF5F24">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сумма </w:t>
            </w:r>
            <w:r w:rsidR="009C6771" w:rsidRPr="00E36FBC">
              <w:rPr>
                <w:rFonts w:ascii="Times New Roman" w:hAnsi="Times New Roman" w:cs="Times New Roman"/>
              </w:rPr>
              <w:t>договора без учета НДС</w:t>
            </w:r>
          </w:p>
        </w:tc>
        <w:tc>
          <w:tcPr>
            <w:tcW w:w="1247"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9C6771" w:rsidRPr="00E36FBC" w:rsidRDefault="009C6771" w:rsidP="00E36FBC">
            <w:pPr>
              <w:widowControl w:val="0"/>
              <w:tabs>
                <w:tab w:val="left" w:pos="2232"/>
              </w:tabs>
              <w:autoSpaceDE w:val="0"/>
              <w:autoSpaceDN w:val="0"/>
              <w:adjustRightInd w:val="0"/>
              <w:spacing w:after="0"/>
              <w:jc w:val="center"/>
              <w:rPr>
                <w:rFonts w:ascii="Times New Roman" w:hAnsi="Times New Roman" w:cs="Times New Roman"/>
                <w:b/>
              </w:rPr>
            </w:pPr>
          </w:p>
        </w:tc>
      </w:tr>
      <w:tr w:rsidR="009C6771" w:rsidRPr="00E36FBC" w:rsidTr="00AF5F24">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E36FBC" w:rsidRDefault="0021120E" w:rsidP="00907E79">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Общая сумма</w:t>
            </w:r>
            <w:r w:rsidR="009C6771" w:rsidRPr="00E36FBC">
              <w:rPr>
                <w:rFonts w:ascii="Times New Roman" w:hAnsi="Times New Roman" w:cs="Times New Roman"/>
              </w:rPr>
              <w:t xml:space="preserve"> договора с учетом НДС</w:t>
            </w:r>
            <w:r w:rsidR="00655EF1">
              <w:rPr>
                <w:rFonts w:ascii="Times New Roman" w:hAnsi="Times New Roman" w:cs="Times New Roman"/>
              </w:rPr>
              <w:t xml:space="preserve"> </w:t>
            </w:r>
          </w:p>
        </w:tc>
        <w:tc>
          <w:tcPr>
            <w:tcW w:w="1247"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AF5F24">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Есть/нет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AF5F24">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47"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Cs/>
          <w:i/>
        </w:rPr>
        <w:t>(Ф.И.О., телефон работника Участника размещения заказа. Е-mail)</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 , факс _____________ , E-mail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762FB8" w:rsidRPr="00E36FBC" w:rsidRDefault="00762FB8"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ind w:right="22"/>
        <w:jc w:val="both"/>
        <w:rPr>
          <w:rFonts w:ascii="Times New Roman" w:eastAsiaTheme="minorHAnsi" w:hAnsi="Times New Roman" w:cs="Times New Roman"/>
          <w:b/>
          <w:i/>
          <w:lang w:eastAsia="en-US"/>
        </w:rPr>
      </w:pPr>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433CF4">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lastRenderedPageBreak/>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8"/>
      <w:bookmarkEnd w:id="129"/>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bookmarkStart w:id="130" w:name="_GoBack"/>
            <w:bookmarkEnd w:id="130"/>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1"/>
      <w:bookmarkEnd w:id="122"/>
      <w:bookmarkEnd w:id="123"/>
      <w:bookmarkEnd w:id="124"/>
      <w:bookmarkEnd w:id="125"/>
    </w:p>
    <w:sectPr w:rsidR="00A8412C" w:rsidRPr="00E36FBC" w:rsidSect="00037B66">
      <w:footerReference w:type="default" r:id="rId21"/>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79" w:rsidRDefault="00907E79" w:rsidP="00B4269E">
      <w:pPr>
        <w:spacing w:after="0" w:line="240" w:lineRule="auto"/>
      </w:pPr>
      <w:r>
        <w:separator/>
      </w:r>
    </w:p>
  </w:endnote>
  <w:endnote w:type="continuationSeparator" w:id="0">
    <w:p w:rsidR="00907E79" w:rsidRDefault="00907E7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907E79" w:rsidRPr="00AF333E" w:rsidRDefault="00907E7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53BBC">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79" w:rsidRDefault="00907E79" w:rsidP="00B4269E">
      <w:pPr>
        <w:spacing w:after="0" w:line="240" w:lineRule="auto"/>
      </w:pPr>
      <w:r>
        <w:separator/>
      </w:r>
    </w:p>
  </w:footnote>
  <w:footnote w:type="continuationSeparator" w:id="0">
    <w:p w:rsidR="00907E79" w:rsidRDefault="00907E7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3C07"/>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33E4"/>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76F4"/>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3CF4"/>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2C8E"/>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07E79"/>
    <w:rsid w:val="009102CD"/>
    <w:rsid w:val="00911A75"/>
    <w:rsid w:val="00911F87"/>
    <w:rsid w:val="00912EA2"/>
    <w:rsid w:val="00912F38"/>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4F1"/>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201"/>
    <w:rsid w:val="00990AB1"/>
    <w:rsid w:val="00991737"/>
    <w:rsid w:val="00992106"/>
    <w:rsid w:val="009921C9"/>
    <w:rsid w:val="0099415F"/>
    <w:rsid w:val="009944D0"/>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3BBC"/>
    <w:rsid w:val="00B554EA"/>
    <w:rsid w:val="00B56950"/>
    <w:rsid w:val="00B5769F"/>
    <w:rsid w:val="00B57AD4"/>
    <w:rsid w:val="00B57F18"/>
    <w:rsid w:val="00B60FBC"/>
    <w:rsid w:val="00B63FEE"/>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08E"/>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3D"/>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D66"/>
    <w:rsid w:val="00EB3ECC"/>
    <w:rsid w:val="00EB439D"/>
    <w:rsid w:val="00EB66E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27DCF"/>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DB4"/>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BA63-FEC1-4936-86BD-40E0EABE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6595</Words>
  <Characters>37594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71</cp:revision>
  <cp:lastPrinted>2016-07-05T09:06:00Z</cp:lastPrinted>
  <dcterms:created xsi:type="dcterms:W3CDTF">2016-07-04T13:55:00Z</dcterms:created>
  <dcterms:modified xsi:type="dcterms:W3CDTF">2019-05-24T07:13:00Z</dcterms:modified>
</cp:coreProperties>
</file>