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EDF68" w14:textId="77777777" w:rsidR="00656E4C" w:rsidRPr="00876885" w:rsidRDefault="00A80E68" w:rsidP="000C2F6E">
      <w:pPr>
        <w:tabs>
          <w:tab w:val="left" w:pos="993"/>
        </w:tabs>
        <w:contextualSpacing/>
        <w:jc w:val="center"/>
        <w:rPr>
          <w:b/>
          <w:u w:val="single"/>
        </w:rPr>
      </w:pPr>
      <w:bookmarkStart w:id="0" w:name="_Hlk535234728"/>
      <w:r w:rsidRPr="00876885">
        <w:rPr>
          <w:b/>
          <w:u w:val="single"/>
        </w:rPr>
        <w:t xml:space="preserve">ТЕХНИЧЕСКОЕ ЗАДАНИЕ </w:t>
      </w:r>
    </w:p>
    <w:p w14:paraId="18B17A3F" w14:textId="77777777" w:rsidR="00232574" w:rsidRDefault="00232574" w:rsidP="00232574">
      <w:pPr>
        <w:tabs>
          <w:tab w:val="left" w:pos="993"/>
        </w:tabs>
        <w:contextualSpacing/>
        <w:jc w:val="center"/>
        <w:rPr>
          <w:b/>
        </w:rPr>
      </w:pPr>
      <w:r>
        <w:rPr>
          <w:b/>
        </w:rPr>
        <w:t>н</w:t>
      </w:r>
      <w:r w:rsidRPr="001E3E91">
        <w:rPr>
          <w:b/>
        </w:rPr>
        <w:t>а выполнение</w:t>
      </w:r>
      <w:r>
        <w:rPr>
          <w:b/>
        </w:rPr>
        <w:t xml:space="preserve"> строительно-монтажных</w:t>
      </w:r>
      <w:r w:rsidRPr="001E3E91">
        <w:rPr>
          <w:b/>
        </w:rPr>
        <w:t xml:space="preserve"> работ </w:t>
      </w:r>
      <w:r>
        <w:rPr>
          <w:b/>
        </w:rPr>
        <w:t xml:space="preserve">по установке накопительных резервуаров </w:t>
      </w:r>
    </w:p>
    <w:p w14:paraId="060569E1" w14:textId="3DCF3D15" w:rsidR="0096464E" w:rsidRPr="00232574" w:rsidRDefault="00232574" w:rsidP="00232574">
      <w:pPr>
        <w:tabs>
          <w:tab w:val="left" w:pos="993"/>
        </w:tabs>
        <w:contextualSpacing/>
        <w:jc w:val="center"/>
        <w:rPr>
          <w:b/>
        </w:rPr>
      </w:pPr>
      <w:r>
        <w:rPr>
          <w:b/>
        </w:rPr>
        <w:t>для  нужд  ООО «ВОЛМА-Майкоп»</w:t>
      </w:r>
    </w:p>
    <w:tbl>
      <w:tblPr>
        <w:tblStyle w:val="afd"/>
        <w:tblW w:w="10632" w:type="dxa"/>
        <w:tblInd w:w="-176" w:type="dxa"/>
        <w:tblLook w:val="04A0" w:firstRow="1" w:lastRow="0" w:firstColumn="1" w:lastColumn="0" w:noHBand="0" w:noVBand="1"/>
      </w:tblPr>
      <w:tblGrid>
        <w:gridCol w:w="977"/>
        <w:gridCol w:w="2512"/>
        <w:gridCol w:w="7143"/>
      </w:tblGrid>
      <w:tr w:rsidR="001724D1" w:rsidRPr="001E3E91" w14:paraId="713A2CDD" w14:textId="77777777" w:rsidTr="008B3519">
        <w:tc>
          <w:tcPr>
            <w:tcW w:w="977" w:type="dxa"/>
          </w:tcPr>
          <w:p w14:paraId="5D2FB8D7" w14:textId="5D5ECD68" w:rsidR="001724D1" w:rsidRPr="001E3E91" w:rsidRDefault="001724D1" w:rsidP="000C2F6E">
            <w:pPr>
              <w:tabs>
                <w:tab w:val="left" w:pos="993"/>
              </w:tabs>
              <w:contextualSpacing/>
              <w:jc w:val="center"/>
              <w:rPr>
                <w:b/>
              </w:rPr>
            </w:pPr>
            <w:r w:rsidRPr="001E3E91">
              <w:rPr>
                <w:b/>
              </w:rPr>
              <w:t>№</w:t>
            </w:r>
            <w:proofErr w:type="gramStart"/>
            <w:r w:rsidRPr="001E3E91">
              <w:rPr>
                <w:b/>
              </w:rPr>
              <w:t>п</w:t>
            </w:r>
            <w:proofErr w:type="gramEnd"/>
            <w:r w:rsidRPr="001E3E91">
              <w:rPr>
                <w:b/>
              </w:rPr>
              <w:t>/п</w:t>
            </w:r>
          </w:p>
        </w:tc>
        <w:tc>
          <w:tcPr>
            <w:tcW w:w="2512" w:type="dxa"/>
          </w:tcPr>
          <w:p w14:paraId="0AD2E946" w14:textId="385A9525" w:rsidR="001724D1" w:rsidRPr="001E3E91" w:rsidRDefault="001724D1" w:rsidP="000C2F6E">
            <w:pPr>
              <w:tabs>
                <w:tab w:val="left" w:pos="993"/>
              </w:tabs>
              <w:contextualSpacing/>
              <w:jc w:val="center"/>
              <w:rPr>
                <w:b/>
              </w:rPr>
            </w:pPr>
            <w:r w:rsidRPr="001E3E91">
              <w:rPr>
                <w:b/>
              </w:rPr>
              <w:t>Наименование данных</w:t>
            </w:r>
          </w:p>
        </w:tc>
        <w:tc>
          <w:tcPr>
            <w:tcW w:w="7143" w:type="dxa"/>
          </w:tcPr>
          <w:p w14:paraId="584BDBC0" w14:textId="74AD0B99" w:rsidR="001724D1" w:rsidRPr="00B80010" w:rsidRDefault="001724D1" w:rsidP="00B80010">
            <w:pPr>
              <w:tabs>
                <w:tab w:val="left" w:pos="993"/>
              </w:tabs>
              <w:contextualSpacing/>
              <w:jc w:val="center"/>
              <w:rPr>
                <w:b/>
              </w:rPr>
            </w:pPr>
            <w:r w:rsidRPr="00B80010">
              <w:rPr>
                <w:b/>
              </w:rPr>
              <w:t>Содержание данных</w:t>
            </w:r>
          </w:p>
        </w:tc>
      </w:tr>
      <w:tr w:rsidR="001724D1" w:rsidRPr="001E3E91" w14:paraId="15C62988" w14:textId="77777777" w:rsidTr="008B3519">
        <w:tc>
          <w:tcPr>
            <w:tcW w:w="977" w:type="dxa"/>
          </w:tcPr>
          <w:p w14:paraId="5FD80B80" w14:textId="19BAE3F2" w:rsidR="001724D1" w:rsidRPr="001E3E91" w:rsidRDefault="00226E60" w:rsidP="000C2F6E">
            <w:pPr>
              <w:tabs>
                <w:tab w:val="left" w:pos="993"/>
              </w:tabs>
              <w:contextualSpacing/>
              <w:jc w:val="center"/>
              <w:rPr>
                <w:b/>
              </w:rPr>
            </w:pPr>
            <w:r w:rsidRPr="001E3E91">
              <w:rPr>
                <w:b/>
              </w:rPr>
              <w:t>1</w:t>
            </w:r>
          </w:p>
        </w:tc>
        <w:tc>
          <w:tcPr>
            <w:tcW w:w="2512" w:type="dxa"/>
          </w:tcPr>
          <w:p w14:paraId="7E3E1905" w14:textId="414756BC" w:rsidR="001724D1" w:rsidRPr="001E3E91" w:rsidRDefault="001724D1" w:rsidP="002D3A22">
            <w:pPr>
              <w:tabs>
                <w:tab w:val="left" w:pos="993"/>
              </w:tabs>
              <w:contextualSpacing/>
              <w:jc w:val="both"/>
              <w:rPr>
                <w:b/>
              </w:rPr>
            </w:pPr>
            <w:r w:rsidRPr="001E3E91">
              <w:rPr>
                <w:b/>
              </w:rPr>
              <w:t>Заказчик</w:t>
            </w:r>
          </w:p>
        </w:tc>
        <w:tc>
          <w:tcPr>
            <w:tcW w:w="7143" w:type="dxa"/>
          </w:tcPr>
          <w:p w14:paraId="2F52C7C2" w14:textId="569B5510" w:rsidR="001724D1" w:rsidRPr="001E3E91" w:rsidRDefault="001724D1" w:rsidP="0089328A">
            <w:pPr>
              <w:tabs>
                <w:tab w:val="left" w:pos="993"/>
              </w:tabs>
              <w:contextualSpacing/>
              <w:jc w:val="both"/>
            </w:pPr>
            <w:r w:rsidRPr="001E3E91">
              <w:t>ООО «ВОЛМА-</w:t>
            </w:r>
            <w:r w:rsidR="0089328A">
              <w:t>Майкоп</w:t>
            </w:r>
            <w:r w:rsidRPr="001E3E91">
              <w:t>»</w:t>
            </w:r>
          </w:p>
        </w:tc>
      </w:tr>
      <w:tr w:rsidR="001724D1" w:rsidRPr="001E3E91" w14:paraId="0E7122CE" w14:textId="77777777" w:rsidTr="008B3519">
        <w:tc>
          <w:tcPr>
            <w:tcW w:w="977" w:type="dxa"/>
          </w:tcPr>
          <w:p w14:paraId="6E3407E4" w14:textId="31C77E93" w:rsidR="001724D1" w:rsidRPr="001E3E91" w:rsidRDefault="00226E60" w:rsidP="000C2F6E">
            <w:pPr>
              <w:tabs>
                <w:tab w:val="left" w:pos="993"/>
              </w:tabs>
              <w:contextualSpacing/>
              <w:jc w:val="center"/>
              <w:rPr>
                <w:b/>
              </w:rPr>
            </w:pPr>
            <w:r w:rsidRPr="001E3E91">
              <w:rPr>
                <w:b/>
              </w:rPr>
              <w:t>2</w:t>
            </w:r>
          </w:p>
        </w:tc>
        <w:tc>
          <w:tcPr>
            <w:tcW w:w="2512" w:type="dxa"/>
          </w:tcPr>
          <w:p w14:paraId="5D1FAC97" w14:textId="274838D4" w:rsidR="001724D1" w:rsidRPr="001E3E91" w:rsidRDefault="001724D1" w:rsidP="002D3A22">
            <w:pPr>
              <w:tabs>
                <w:tab w:val="left" w:pos="993"/>
              </w:tabs>
              <w:contextualSpacing/>
              <w:jc w:val="both"/>
              <w:rPr>
                <w:b/>
              </w:rPr>
            </w:pPr>
            <w:r w:rsidRPr="001E3E91">
              <w:rPr>
                <w:b/>
              </w:rPr>
              <w:t>Вид работ</w:t>
            </w:r>
          </w:p>
        </w:tc>
        <w:tc>
          <w:tcPr>
            <w:tcW w:w="7143" w:type="dxa"/>
          </w:tcPr>
          <w:p w14:paraId="250CF18C" w14:textId="319215BA" w:rsidR="00122708" w:rsidRDefault="0096464E" w:rsidP="0096464E">
            <w:pPr>
              <w:tabs>
                <w:tab w:val="left" w:pos="993"/>
              </w:tabs>
              <w:contextualSpacing/>
              <w:jc w:val="both"/>
            </w:pPr>
            <w:r>
              <w:t>Строительно-монтажные работы,</w:t>
            </w:r>
            <w:r w:rsidR="00122708">
              <w:t xml:space="preserve"> согласно проектной документации </w:t>
            </w:r>
            <w:r w:rsidR="00B1247A">
              <w:t>ООО «ПСП», этап</w:t>
            </w:r>
            <w:r w:rsidR="00122708">
              <w:t xml:space="preserve"> строительства №1. </w:t>
            </w:r>
          </w:p>
          <w:p w14:paraId="33EC5C02" w14:textId="77777777" w:rsidR="00122708" w:rsidRDefault="00122708" w:rsidP="0096464E">
            <w:pPr>
              <w:tabs>
                <w:tab w:val="left" w:pos="993"/>
              </w:tabs>
              <w:contextualSpacing/>
              <w:jc w:val="both"/>
            </w:pPr>
            <w:r>
              <w:t>Этап строительства №1 включает в себя:</w:t>
            </w:r>
          </w:p>
          <w:p w14:paraId="10A0A595" w14:textId="238D66C8" w:rsidR="00122708" w:rsidRDefault="00122708" w:rsidP="0096464E">
            <w:pPr>
              <w:tabs>
                <w:tab w:val="left" w:pos="993"/>
              </w:tabs>
              <w:contextualSpacing/>
              <w:jc w:val="both"/>
            </w:pPr>
            <w:r>
              <w:t xml:space="preserve">- закупку </w:t>
            </w:r>
            <w:r w:rsidR="00B1247A">
              <w:t>оборудования и материалов</w:t>
            </w:r>
            <w:r>
              <w:t xml:space="preserve"> согласно</w:t>
            </w:r>
            <w:r w:rsidR="00B1247A">
              <w:t xml:space="preserve"> спецификации проекта, по</w:t>
            </w:r>
            <w:r>
              <w:t xml:space="preserve"> первому этапу строительства.</w:t>
            </w:r>
          </w:p>
          <w:p w14:paraId="232CF2F3" w14:textId="640F3B98" w:rsidR="001724D1" w:rsidRPr="001E3E91" w:rsidRDefault="00122708" w:rsidP="00122708">
            <w:pPr>
              <w:tabs>
                <w:tab w:val="left" w:pos="993"/>
              </w:tabs>
              <w:contextualSpacing/>
              <w:jc w:val="both"/>
            </w:pPr>
            <w:r>
              <w:t>-</w:t>
            </w:r>
            <w:r w:rsidR="00B1247A">
              <w:t xml:space="preserve"> выполнение</w:t>
            </w:r>
            <w:r>
              <w:t xml:space="preserve"> строительно-монтажны</w:t>
            </w:r>
            <w:r w:rsidR="00B1247A">
              <w:t>х</w:t>
            </w:r>
            <w:r>
              <w:t xml:space="preserve"> работ по </w:t>
            </w:r>
            <w:r w:rsidR="00B1247A">
              <w:t>устройству</w:t>
            </w:r>
            <w:r>
              <w:t xml:space="preserve"> емкостей объем</w:t>
            </w:r>
            <w:r w:rsidR="00B1247A">
              <w:t>о</w:t>
            </w:r>
            <w:r>
              <w:t>м 400</w:t>
            </w:r>
            <w:r w:rsidR="00B1247A">
              <w:t xml:space="preserve"> </w:t>
            </w:r>
            <w:r>
              <w:t>м</w:t>
            </w:r>
            <w:r w:rsidR="00B1247A">
              <w:t>³</w:t>
            </w:r>
            <w:r>
              <w:t xml:space="preserve">. </w:t>
            </w:r>
          </w:p>
        </w:tc>
      </w:tr>
      <w:tr w:rsidR="001724D1" w:rsidRPr="001E3E91" w14:paraId="2E29FE79" w14:textId="77777777" w:rsidTr="008B3519">
        <w:tc>
          <w:tcPr>
            <w:tcW w:w="977" w:type="dxa"/>
          </w:tcPr>
          <w:p w14:paraId="2550FA1A" w14:textId="0D92914C" w:rsidR="001724D1" w:rsidRPr="001E3E91" w:rsidRDefault="00226E60" w:rsidP="000C2F6E">
            <w:pPr>
              <w:tabs>
                <w:tab w:val="left" w:pos="993"/>
              </w:tabs>
              <w:contextualSpacing/>
              <w:jc w:val="center"/>
              <w:rPr>
                <w:b/>
              </w:rPr>
            </w:pPr>
            <w:r w:rsidRPr="001E3E91">
              <w:rPr>
                <w:b/>
              </w:rPr>
              <w:t>3</w:t>
            </w:r>
          </w:p>
        </w:tc>
        <w:tc>
          <w:tcPr>
            <w:tcW w:w="2512" w:type="dxa"/>
          </w:tcPr>
          <w:p w14:paraId="2E9772F1" w14:textId="6183503C" w:rsidR="001724D1" w:rsidRPr="001E3E91" w:rsidRDefault="001724D1" w:rsidP="002D3A22">
            <w:pPr>
              <w:tabs>
                <w:tab w:val="left" w:pos="993"/>
              </w:tabs>
              <w:contextualSpacing/>
              <w:jc w:val="both"/>
              <w:rPr>
                <w:b/>
              </w:rPr>
            </w:pPr>
            <w:proofErr w:type="gramStart"/>
            <w:r w:rsidRPr="001E3E91">
              <w:rPr>
                <w:b/>
              </w:rPr>
              <w:t>Место расположение</w:t>
            </w:r>
            <w:proofErr w:type="gramEnd"/>
            <w:r w:rsidRPr="001E3E91">
              <w:rPr>
                <w:b/>
              </w:rPr>
              <w:t xml:space="preserve"> объекта</w:t>
            </w:r>
          </w:p>
        </w:tc>
        <w:tc>
          <w:tcPr>
            <w:tcW w:w="7143" w:type="dxa"/>
          </w:tcPr>
          <w:p w14:paraId="03214393" w14:textId="0923E65A" w:rsidR="001724D1" w:rsidRPr="00B1247A" w:rsidRDefault="00013DE2" w:rsidP="00D71646">
            <w:pPr>
              <w:tabs>
                <w:tab w:val="left" w:pos="993"/>
              </w:tabs>
              <w:contextualSpacing/>
              <w:jc w:val="both"/>
            </w:pPr>
            <w:r w:rsidRPr="00B1247A">
              <w:t xml:space="preserve">РФ, </w:t>
            </w:r>
            <w:r w:rsidR="00D71646" w:rsidRPr="00B1247A">
              <w:t xml:space="preserve">Республика Адыгея, Майкопский район, </w:t>
            </w:r>
            <w:proofErr w:type="spellStart"/>
            <w:r w:rsidR="00D71646" w:rsidRPr="00B1247A">
              <w:t>пгт</w:t>
            </w:r>
            <w:proofErr w:type="spellEnd"/>
            <w:r w:rsidR="00D71646" w:rsidRPr="00B1247A">
              <w:t xml:space="preserve">. Каменномостский, ул. К. Маркса, 66, </w:t>
            </w:r>
            <w:proofErr w:type="spellStart"/>
            <w:r w:rsidR="00D71646" w:rsidRPr="00B1247A">
              <w:t>каб</w:t>
            </w:r>
            <w:proofErr w:type="spellEnd"/>
            <w:r w:rsidR="00D71646" w:rsidRPr="00B1247A">
              <w:t>. 10</w:t>
            </w:r>
          </w:p>
        </w:tc>
      </w:tr>
      <w:tr w:rsidR="001724D1" w:rsidRPr="001E3E91" w14:paraId="0C358642" w14:textId="77777777" w:rsidTr="008B3519">
        <w:trPr>
          <w:trHeight w:val="345"/>
        </w:trPr>
        <w:tc>
          <w:tcPr>
            <w:tcW w:w="977" w:type="dxa"/>
          </w:tcPr>
          <w:p w14:paraId="1C1437E9" w14:textId="03EF65C7" w:rsidR="001724D1" w:rsidRPr="001E3E91" w:rsidRDefault="00226E60" w:rsidP="000C2F6E">
            <w:pPr>
              <w:tabs>
                <w:tab w:val="left" w:pos="993"/>
              </w:tabs>
              <w:contextualSpacing/>
              <w:jc w:val="center"/>
              <w:rPr>
                <w:b/>
              </w:rPr>
            </w:pPr>
            <w:r w:rsidRPr="001E3E91">
              <w:rPr>
                <w:b/>
              </w:rPr>
              <w:t>4</w:t>
            </w:r>
          </w:p>
        </w:tc>
        <w:tc>
          <w:tcPr>
            <w:tcW w:w="2512" w:type="dxa"/>
          </w:tcPr>
          <w:p w14:paraId="4EB1A8DB" w14:textId="557B624C" w:rsidR="001724D1" w:rsidRPr="001E3E91" w:rsidRDefault="001724D1" w:rsidP="002D3A22">
            <w:pPr>
              <w:tabs>
                <w:tab w:val="left" w:pos="993"/>
              </w:tabs>
              <w:contextualSpacing/>
              <w:jc w:val="both"/>
              <w:rPr>
                <w:b/>
              </w:rPr>
            </w:pPr>
            <w:r w:rsidRPr="001E3E91">
              <w:rPr>
                <w:b/>
              </w:rPr>
              <w:t>Основание</w:t>
            </w:r>
          </w:p>
        </w:tc>
        <w:tc>
          <w:tcPr>
            <w:tcW w:w="7143" w:type="dxa"/>
          </w:tcPr>
          <w:p w14:paraId="10A7B0C7" w14:textId="391BE1B8" w:rsidR="001724D1" w:rsidRPr="001E3E91" w:rsidRDefault="002869CF" w:rsidP="006B09FA">
            <w:pPr>
              <w:tabs>
                <w:tab w:val="left" w:pos="993"/>
              </w:tabs>
              <w:contextualSpacing/>
            </w:pPr>
            <w:r w:rsidRPr="001E3E91">
              <w:t>Рабочий проект</w:t>
            </w:r>
            <w:r w:rsidR="00626A59">
              <w:t xml:space="preserve">: </w:t>
            </w:r>
            <w:r w:rsidR="00D71646">
              <w:rPr>
                <w:b/>
                <w:bCs/>
              </w:rPr>
              <w:t>0034.20.00-</w:t>
            </w:r>
            <w:proofErr w:type="gramStart"/>
            <w:r w:rsidR="00D71646">
              <w:rPr>
                <w:b/>
                <w:bCs/>
              </w:rPr>
              <w:t>ПОС</w:t>
            </w:r>
            <w:proofErr w:type="gramEnd"/>
            <w:r w:rsidR="00D71646">
              <w:rPr>
                <w:b/>
                <w:bCs/>
              </w:rPr>
              <w:t>,</w:t>
            </w:r>
            <w:r w:rsidR="00B1247A">
              <w:rPr>
                <w:b/>
                <w:bCs/>
              </w:rPr>
              <w:t xml:space="preserve"> </w:t>
            </w:r>
            <w:r w:rsidR="006B09FA">
              <w:rPr>
                <w:b/>
                <w:bCs/>
              </w:rPr>
              <w:t>КР,</w:t>
            </w:r>
            <w:r w:rsidR="00B1247A">
              <w:rPr>
                <w:b/>
                <w:bCs/>
              </w:rPr>
              <w:t xml:space="preserve"> </w:t>
            </w:r>
            <w:r w:rsidR="006B09FA">
              <w:rPr>
                <w:b/>
                <w:bCs/>
              </w:rPr>
              <w:t>ИОС1,</w:t>
            </w:r>
            <w:r w:rsidR="00B1247A">
              <w:rPr>
                <w:b/>
                <w:bCs/>
              </w:rPr>
              <w:t xml:space="preserve"> </w:t>
            </w:r>
            <w:r w:rsidR="006B09FA">
              <w:rPr>
                <w:b/>
                <w:bCs/>
              </w:rPr>
              <w:t>ИОС2,</w:t>
            </w:r>
            <w:r w:rsidR="00B1247A">
              <w:rPr>
                <w:b/>
                <w:bCs/>
              </w:rPr>
              <w:t xml:space="preserve"> </w:t>
            </w:r>
            <w:r w:rsidR="006B09FA">
              <w:rPr>
                <w:b/>
                <w:bCs/>
              </w:rPr>
              <w:t>ИОС3.1,</w:t>
            </w:r>
            <w:r w:rsidR="00B1247A">
              <w:rPr>
                <w:b/>
                <w:bCs/>
              </w:rPr>
              <w:t xml:space="preserve"> </w:t>
            </w:r>
            <w:r w:rsidR="006B09FA">
              <w:rPr>
                <w:b/>
                <w:bCs/>
              </w:rPr>
              <w:t>ИОС3,2,</w:t>
            </w:r>
            <w:r w:rsidR="00B1247A">
              <w:rPr>
                <w:b/>
                <w:bCs/>
              </w:rPr>
              <w:t xml:space="preserve"> </w:t>
            </w:r>
            <w:r w:rsidR="006B09FA">
              <w:rPr>
                <w:b/>
                <w:bCs/>
              </w:rPr>
              <w:t>ПЗУ.</w:t>
            </w:r>
          </w:p>
        </w:tc>
      </w:tr>
      <w:tr w:rsidR="002D3A22" w:rsidRPr="001E3E91" w14:paraId="24600A3E" w14:textId="77777777" w:rsidTr="008B3519">
        <w:trPr>
          <w:trHeight w:val="365"/>
        </w:trPr>
        <w:tc>
          <w:tcPr>
            <w:tcW w:w="977" w:type="dxa"/>
          </w:tcPr>
          <w:p w14:paraId="196A2389" w14:textId="12202F5B" w:rsidR="002D3A22" w:rsidRPr="001E3E91" w:rsidRDefault="00226E60" w:rsidP="000C2F6E">
            <w:pPr>
              <w:tabs>
                <w:tab w:val="left" w:pos="993"/>
              </w:tabs>
              <w:contextualSpacing/>
              <w:jc w:val="center"/>
              <w:rPr>
                <w:b/>
              </w:rPr>
            </w:pPr>
            <w:r w:rsidRPr="001E3E91">
              <w:rPr>
                <w:b/>
              </w:rPr>
              <w:t>5</w:t>
            </w:r>
          </w:p>
        </w:tc>
        <w:tc>
          <w:tcPr>
            <w:tcW w:w="2512" w:type="dxa"/>
          </w:tcPr>
          <w:p w14:paraId="17E20A4D" w14:textId="1552788B" w:rsidR="002D3A22" w:rsidRPr="001E3E91" w:rsidRDefault="002D3A22" w:rsidP="002D3A22">
            <w:pPr>
              <w:tabs>
                <w:tab w:val="left" w:pos="993"/>
              </w:tabs>
              <w:contextualSpacing/>
              <w:jc w:val="both"/>
              <w:rPr>
                <w:b/>
              </w:rPr>
            </w:pPr>
            <w:r w:rsidRPr="001E3E91">
              <w:rPr>
                <w:b/>
              </w:rPr>
              <w:t>Сроки исполнения</w:t>
            </w:r>
          </w:p>
        </w:tc>
        <w:tc>
          <w:tcPr>
            <w:tcW w:w="7143" w:type="dxa"/>
          </w:tcPr>
          <w:p w14:paraId="55B1E30B" w14:textId="09108E68" w:rsidR="002D3A22" w:rsidRPr="00232574" w:rsidRDefault="0052732D" w:rsidP="002D3A22">
            <w:pPr>
              <w:tabs>
                <w:tab w:val="left" w:pos="993"/>
              </w:tabs>
              <w:contextualSpacing/>
              <w:jc w:val="both"/>
              <w:rPr>
                <w:b/>
                <w:i/>
              </w:rPr>
            </w:pPr>
            <w:r w:rsidRPr="00232574">
              <w:rPr>
                <w:b/>
                <w:i/>
              </w:rPr>
              <w:t>01.10</w:t>
            </w:r>
            <w:r w:rsidR="00626A59" w:rsidRPr="00232574">
              <w:rPr>
                <w:b/>
                <w:i/>
              </w:rPr>
              <w:t>.2020-</w:t>
            </w:r>
            <w:r w:rsidRPr="00232574">
              <w:rPr>
                <w:b/>
                <w:i/>
              </w:rPr>
              <w:t>20</w:t>
            </w:r>
            <w:r w:rsidR="00626A59" w:rsidRPr="00232574">
              <w:rPr>
                <w:b/>
                <w:i/>
              </w:rPr>
              <w:t>.</w:t>
            </w:r>
            <w:r w:rsidRPr="00232574">
              <w:rPr>
                <w:b/>
                <w:i/>
              </w:rPr>
              <w:t>12</w:t>
            </w:r>
            <w:r w:rsidR="00626A59" w:rsidRPr="00232574">
              <w:rPr>
                <w:b/>
                <w:i/>
              </w:rPr>
              <w:t>.2020</w:t>
            </w:r>
            <w:r w:rsidR="00F20110" w:rsidRPr="00232574">
              <w:rPr>
                <w:b/>
                <w:i/>
              </w:rPr>
              <w:t>.</w:t>
            </w:r>
          </w:p>
        </w:tc>
      </w:tr>
      <w:tr w:rsidR="001724D1" w:rsidRPr="001E3E91" w14:paraId="2AB2DE08" w14:textId="77777777" w:rsidTr="008B3519">
        <w:tc>
          <w:tcPr>
            <w:tcW w:w="977" w:type="dxa"/>
          </w:tcPr>
          <w:p w14:paraId="75423EF1" w14:textId="77C5620A" w:rsidR="001724D1" w:rsidRPr="001E3E91" w:rsidRDefault="00226E60" w:rsidP="000C2F6E">
            <w:pPr>
              <w:tabs>
                <w:tab w:val="left" w:pos="993"/>
              </w:tabs>
              <w:contextualSpacing/>
              <w:jc w:val="center"/>
              <w:rPr>
                <w:b/>
              </w:rPr>
            </w:pPr>
            <w:r w:rsidRPr="001E3E91">
              <w:rPr>
                <w:b/>
              </w:rPr>
              <w:t>6</w:t>
            </w:r>
          </w:p>
        </w:tc>
        <w:tc>
          <w:tcPr>
            <w:tcW w:w="2512" w:type="dxa"/>
          </w:tcPr>
          <w:p w14:paraId="0975A28F" w14:textId="36A0CC5C" w:rsidR="001724D1" w:rsidRPr="001E3E91" w:rsidRDefault="001724D1" w:rsidP="002D3A22">
            <w:pPr>
              <w:tabs>
                <w:tab w:val="left" w:pos="993"/>
              </w:tabs>
              <w:contextualSpacing/>
              <w:jc w:val="both"/>
              <w:rPr>
                <w:b/>
              </w:rPr>
            </w:pPr>
            <w:r w:rsidRPr="001E3E91">
              <w:rPr>
                <w:b/>
              </w:rPr>
              <w:t>Порядок оплаты</w:t>
            </w:r>
          </w:p>
        </w:tc>
        <w:tc>
          <w:tcPr>
            <w:tcW w:w="7143" w:type="dxa"/>
          </w:tcPr>
          <w:p w14:paraId="62A6C3CB" w14:textId="0FD52040" w:rsidR="00EF7354" w:rsidRPr="007C7CB4" w:rsidRDefault="00EF7354" w:rsidP="00EF7354">
            <w:pPr>
              <w:pStyle w:val="a3"/>
              <w:spacing w:line="276" w:lineRule="auto"/>
              <w:ind w:left="0"/>
              <w:jc w:val="both"/>
              <w:rPr>
                <w:lang w:eastAsia="ar-SA"/>
              </w:rPr>
            </w:pPr>
            <w:r w:rsidRPr="007C7CB4">
              <w:rPr>
                <w:lang w:eastAsia="ar-SA"/>
              </w:rPr>
              <w:t>Порядок оплаты предлагается Участниками тендера и является одним из критериев оценки</w:t>
            </w:r>
            <w:r w:rsidR="00E20EA3">
              <w:rPr>
                <w:lang w:eastAsia="ar-SA"/>
              </w:rPr>
              <w:t xml:space="preserve">, приветствуется полная пост оплата.  </w:t>
            </w:r>
          </w:p>
          <w:p w14:paraId="2195CCC4" w14:textId="77777777" w:rsidR="00CF4545" w:rsidRPr="00CF4545" w:rsidRDefault="00CF4545" w:rsidP="000B6BA9">
            <w:pPr>
              <w:suppressAutoHyphens/>
              <w:jc w:val="both"/>
              <w:rPr>
                <w:lang w:eastAsia="ar-SA"/>
              </w:rPr>
            </w:pPr>
            <w:r w:rsidRPr="00CF4545">
              <w:rPr>
                <w:lang w:eastAsia="ar-SA"/>
              </w:rPr>
              <w:t>Заказчик вправе задерживать оплату части выполненных Подрядчиком объемов работ, к которым имеются замечания, до момента полного исполнения нарушенного обязательства, в том числе, но не исключительно, в случаях:</w:t>
            </w:r>
          </w:p>
          <w:p w14:paraId="0ADD4CBB" w14:textId="77777777" w:rsidR="00CF4545" w:rsidRPr="00CF4545" w:rsidRDefault="00CF4545" w:rsidP="00FF0FF8">
            <w:pPr>
              <w:suppressAutoHyphens/>
              <w:jc w:val="both"/>
              <w:rPr>
                <w:lang w:eastAsia="ar-SA"/>
              </w:rPr>
            </w:pPr>
            <w:r w:rsidRPr="00CF4545">
              <w:rPr>
                <w:lang w:eastAsia="ar-SA"/>
              </w:rPr>
              <w:t>- отсутствия разработанных Подрядчиком и согласованных Заказчиком локальных сметных расчетов на соответствующие виды работ;</w:t>
            </w:r>
          </w:p>
          <w:p w14:paraId="66D54705" w14:textId="77777777" w:rsidR="00CF4545" w:rsidRPr="00CF4545" w:rsidRDefault="00CF4545" w:rsidP="00FF0FF8">
            <w:pPr>
              <w:suppressAutoHyphens/>
              <w:jc w:val="both"/>
              <w:rPr>
                <w:lang w:eastAsia="ar-SA"/>
              </w:rPr>
            </w:pPr>
            <w:r w:rsidRPr="00CF4545">
              <w:rPr>
                <w:lang w:eastAsia="ar-SA"/>
              </w:rPr>
              <w:t>- не устранения замечаний по качеству и/или объемам выполненных работ, материалов, конструкций, оборудования и т.п. в установленные сроки (в том числе в случае подписания Акта приемки законченного строительством объекта капитального строительства по форме КС-11 с замечаниями);</w:t>
            </w:r>
          </w:p>
          <w:p w14:paraId="00E9F6EF" w14:textId="2E917B4E" w:rsidR="0096464E" w:rsidRPr="00FF0FF8" w:rsidRDefault="00CF4545" w:rsidP="000B6BA9">
            <w:pPr>
              <w:tabs>
                <w:tab w:val="left" w:pos="993"/>
              </w:tabs>
              <w:contextualSpacing/>
              <w:jc w:val="both"/>
              <w:rPr>
                <w:rFonts w:eastAsia="Arial Unicode MS" w:cs="Tahoma"/>
                <w:kern w:val="1"/>
                <w:lang w:eastAsia="ar-SA"/>
              </w:rPr>
            </w:pPr>
            <w:proofErr w:type="gramStart"/>
            <w:r w:rsidRPr="00CF4545">
              <w:rPr>
                <w:rFonts w:eastAsia="Arial Unicode MS" w:cs="Tahoma"/>
                <w:kern w:val="1"/>
                <w:lang w:eastAsia="ar-SA"/>
              </w:rPr>
              <w:t xml:space="preserve">- </w:t>
            </w:r>
            <w:proofErr w:type="spellStart"/>
            <w:r w:rsidRPr="00CF4545">
              <w:rPr>
                <w:rFonts w:eastAsia="Arial Unicode MS" w:cs="Tahoma"/>
                <w:kern w:val="1"/>
                <w:lang w:eastAsia="ar-SA"/>
              </w:rPr>
              <w:t>непредоставления</w:t>
            </w:r>
            <w:proofErr w:type="spellEnd"/>
            <w:r w:rsidRPr="00CF4545">
              <w:rPr>
                <w:rFonts w:eastAsia="Arial Unicode MS" w:cs="Tahoma"/>
                <w:kern w:val="1"/>
                <w:lang w:eastAsia="ar-SA"/>
              </w:rPr>
              <w:t xml:space="preserve"> полного пакета надлежащим образом оформленн</w:t>
            </w:r>
            <w:r>
              <w:rPr>
                <w:rFonts w:eastAsia="Arial Unicode MS" w:cs="Tahoma"/>
                <w:kern w:val="1"/>
                <w:lang w:eastAsia="ar-SA"/>
              </w:rPr>
              <w:t>ой</w:t>
            </w:r>
            <w:r w:rsidRPr="00CF4545">
              <w:rPr>
                <w:rFonts w:eastAsia="Arial Unicode MS" w:cs="Tahoma"/>
                <w:kern w:val="1"/>
                <w:lang w:eastAsia="ar-SA"/>
              </w:rPr>
              <w:t xml:space="preserve"> исполнительн</w:t>
            </w:r>
            <w:r>
              <w:rPr>
                <w:rFonts w:eastAsia="Arial Unicode MS" w:cs="Tahoma"/>
                <w:kern w:val="1"/>
                <w:lang w:eastAsia="ar-SA"/>
              </w:rPr>
              <w:t>ой</w:t>
            </w:r>
            <w:r w:rsidRPr="00CF4545">
              <w:rPr>
                <w:rFonts w:eastAsia="Arial Unicode MS" w:cs="Tahoma"/>
                <w:kern w:val="1"/>
                <w:lang w:eastAsia="ar-SA"/>
              </w:rPr>
              <w:t xml:space="preserve"> документаци</w:t>
            </w:r>
            <w:r>
              <w:rPr>
                <w:rFonts w:eastAsia="Arial Unicode MS" w:cs="Tahoma"/>
                <w:kern w:val="1"/>
                <w:lang w:eastAsia="ar-SA"/>
              </w:rPr>
              <w:t>и</w:t>
            </w:r>
            <w:r w:rsidRPr="00CF4545">
              <w:rPr>
                <w:rFonts w:eastAsia="Arial Unicode MS" w:cs="Tahoma"/>
                <w:kern w:val="1"/>
                <w:lang w:eastAsia="ar-SA"/>
              </w:rPr>
              <w:t>, составляемую в ходе осуществления строительно-монтажных работ в составе и в соответствии с  требованиями</w:t>
            </w:r>
            <w:r w:rsidRPr="00CF4545">
              <w:rPr>
                <w:rFonts w:eastAsia="Arial Unicode MS" w:cs="Tahoma"/>
                <w:color w:val="FF0000"/>
                <w:kern w:val="1"/>
                <w:lang w:eastAsia="ar-SA"/>
              </w:rPr>
              <w:t xml:space="preserve"> </w:t>
            </w:r>
            <w:r w:rsidRPr="00CF4545">
              <w:rPr>
                <w:rFonts w:eastAsia="Arial Unicode MS" w:cs="Tahoma"/>
                <w:kern w:val="1"/>
                <w:lang w:eastAsia="ar-SA"/>
              </w:rPr>
              <w:t xml:space="preserve">Приказа </w:t>
            </w:r>
            <w:proofErr w:type="spellStart"/>
            <w:r w:rsidRPr="00CF4545">
              <w:rPr>
                <w:rFonts w:eastAsia="Arial Unicode MS" w:cs="Tahoma"/>
                <w:kern w:val="1"/>
                <w:lang w:eastAsia="ar-SA"/>
              </w:rPr>
              <w:t>Ростехнадзора</w:t>
            </w:r>
            <w:proofErr w:type="spellEnd"/>
            <w:r w:rsidRPr="00CF4545">
              <w:rPr>
                <w:rFonts w:eastAsia="Arial Unicode MS" w:cs="Tahoma"/>
                <w:kern w:val="1"/>
                <w:lang w:eastAsia="ar-SA"/>
              </w:rPr>
              <w:t xml:space="preserve"> от 26.12.2006 №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w:t>
            </w:r>
            <w:proofErr w:type="gramEnd"/>
            <w:r w:rsidRPr="00CF4545">
              <w:rPr>
                <w:rFonts w:eastAsia="Arial Unicode MS" w:cs="Tahoma"/>
                <w:kern w:val="1"/>
                <w:lang w:eastAsia="ar-SA"/>
              </w:rPr>
              <w:t xml:space="preserve"> сетей инженерно-технического обеспечения"  и требованиями других действующих нормативных правовых актов РФ.</w:t>
            </w:r>
          </w:p>
        </w:tc>
      </w:tr>
      <w:tr w:rsidR="001724D1" w:rsidRPr="001E3E91" w14:paraId="778CECFD" w14:textId="77777777" w:rsidTr="008B3519">
        <w:tc>
          <w:tcPr>
            <w:tcW w:w="977" w:type="dxa"/>
          </w:tcPr>
          <w:p w14:paraId="4EDDE009" w14:textId="7E791370" w:rsidR="001724D1" w:rsidRPr="001E3E91" w:rsidRDefault="00226E60" w:rsidP="000C2F6E">
            <w:pPr>
              <w:tabs>
                <w:tab w:val="left" w:pos="993"/>
              </w:tabs>
              <w:contextualSpacing/>
              <w:jc w:val="center"/>
              <w:rPr>
                <w:b/>
              </w:rPr>
            </w:pPr>
            <w:r w:rsidRPr="001E3E91">
              <w:rPr>
                <w:b/>
              </w:rPr>
              <w:t>7</w:t>
            </w:r>
          </w:p>
        </w:tc>
        <w:tc>
          <w:tcPr>
            <w:tcW w:w="2512" w:type="dxa"/>
          </w:tcPr>
          <w:p w14:paraId="30E8A6E4" w14:textId="41A558DA" w:rsidR="001724D1" w:rsidRPr="001E3E91" w:rsidRDefault="001724D1" w:rsidP="002D3A22">
            <w:pPr>
              <w:tabs>
                <w:tab w:val="left" w:pos="993"/>
              </w:tabs>
              <w:contextualSpacing/>
              <w:jc w:val="both"/>
              <w:rPr>
                <w:b/>
              </w:rPr>
            </w:pPr>
            <w:r w:rsidRPr="001E3E91">
              <w:rPr>
                <w:b/>
              </w:rPr>
              <w:t>Гарантия</w:t>
            </w:r>
          </w:p>
        </w:tc>
        <w:tc>
          <w:tcPr>
            <w:tcW w:w="7143" w:type="dxa"/>
          </w:tcPr>
          <w:p w14:paraId="685748B3" w14:textId="7511A8A5" w:rsidR="001724D1" w:rsidRPr="00B80010" w:rsidRDefault="00626A59" w:rsidP="00C52DA8">
            <w:pPr>
              <w:tabs>
                <w:tab w:val="left" w:pos="993"/>
              </w:tabs>
              <w:contextualSpacing/>
              <w:jc w:val="both"/>
            </w:pPr>
            <w:r w:rsidRPr="00626A59">
              <w:t>Гарантийный срок на выполненные Подрядчиком работы и установленное им оборудование/примененные им материалы по Договору составляет 5 (пять) лет</w:t>
            </w:r>
            <w:r w:rsidR="005F5062">
              <w:t>,</w:t>
            </w:r>
            <w:r w:rsidRPr="00626A59">
              <w:t xml:space="preserve"> от даты подписания Сторонами Акта приемки законченного строительством объекта капитального строительства по форме КС-11</w:t>
            </w:r>
          </w:p>
        </w:tc>
      </w:tr>
      <w:tr w:rsidR="001E3E91" w:rsidRPr="001E3E91" w14:paraId="5FB7AC94" w14:textId="77777777" w:rsidTr="008B3519">
        <w:tc>
          <w:tcPr>
            <w:tcW w:w="977" w:type="dxa"/>
          </w:tcPr>
          <w:p w14:paraId="7C6C3BC8" w14:textId="75743185" w:rsidR="001E3E91" w:rsidRPr="001E3E91" w:rsidRDefault="001E3E91" w:rsidP="001E3E91">
            <w:pPr>
              <w:tabs>
                <w:tab w:val="left" w:pos="993"/>
              </w:tabs>
              <w:contextualSpacing/>
              <w:jc w:val="center"/>
              <w:rPr>
                <w:b/>
              </w:rPr>
            </w:pPr>
            <w:r w:rsidRPr="001E3E91">
              <w:rPr>
                <w:b/>
              </w:rPr>
              <w:t>8</w:t>
            </w:r>
          </w:p>
        </w:tc>
        <w:tc>
          <w:tcPr>
            <w:tcW w:w="2512" w:type="dxa"/>
            <w:vAlign w:val="center"/>
          </w:tcPr>
          <w:p w14:paraId="5F3E757E" w14:textId="0FA0DD93" w:rsidR="001E3E91" w:rsidRPr="001E3E91" w:rsidRDefault="001E3E91" w:rsidP="001E3E91">
            <w:pPr>
              <w:tabs>
                <w:tab w:val="left" w:pos="993"/>
              </w:tabs>
              <w:contextualSpacing/>
              <w:jc w:val="both"/>
              <w:rPr>
                <w:b/>
              </w:rPr>
            </w:pPr>
            <w:r w:rsidRPr="001E3E91">
              <w:rPr>
                <w:b/>
              </w:rPr>
              <w:t>Функциональное назначение проектируемого участка</w:t>
            </w:r>
          </w:p>
        </w:tc>
        <w:tc>
          <w:tcPr>
            <w:tcW w:w="7143" w:type="dxa"/>
          </w:tcPr>
          <w:p w14:paraId="5B33DC1C" w14:textId="77777777" w:rsidR="0052732D" w:rsidRDefault="0052732D" w:rsidP="000B6BA9">
            <w:pPr>
              <w:tabs>
                <w:tab w:val="left" w:pos="993"/>
              </w:tabs>
              <w:contextualSpacing/>
              <w:jc w:val="both"/>
            </w:pPr>
          </w:p>
          <w:p w14:paraId="7A2E5D21" w14:textId="72B1A3ED" w:rsidR="001E3E91" w:rsidRPr="0052732D" w:rsidRDefault="0052732D" w:rsidP="000B6BA9">
            <w:pPr>
              <w:tabs>
                <w:tab w:val="left" w:pos="993"/>
              </w:tabs>
              <w:contextualSpacing/>
              <w:jc w:val="both"/>
            </w:pPr>
            <w:r w:rsidRPr="0052732D">
              <w:t>Накопительные резервуары для применения их как пожарных, так и хозяйственно-бытовых нужд</w:t>
            </w:r>
            <w:r>
              <w:t>.</w:t>
            </w:r>
          </w:p>
        </w:tc>
      </w:tr>
      <w:tr w:rsidR="00560ED6" w:rsidRPr="001E3E91" w14:paraId="6A811777" w14:textId="77777777" w:rsidTr="008B3519">
        <w:tc>
          <w:tcPr>
            <w:tcW w:w="977" w:type="dxa"/>
          </w:tcPr>
          <w:p w14:paraId="3A29B87F" w14:textId="4C10F4B8" w:rsidR="00560ED6" w:rsidRPr="001E3E91" w:rsidRDefault="0089328A" w:rsidP="00560ED6">
            <w:pPr>
              <w:tabs>
                <w:tab w:val="left" w:pos="993"/>
              </w:tabs>
              <w:contextualSpacing/>
              <w:jc w:val="center"/>
              <w:rPr>
                <w:b/>
              </w:rPr>
            </w:pPr>
            <w:r>
              <w:rPr>
                <w:b/>
              </w:rPr>
              <w:lastRenderedPageBreak/>
              <w:t>9</w:t>
            </w:r>
          </w:p>
        </w:tc>
        <w:tc>
          <w:tcPr>
            <w:tcW w:w="2512" w:type="dxa"/>
          </w:tcPr>
          <w:p w14:paraId="6D97B0E8" w14:textId="25303739" w:rsidR="00560ED6" w:rsidRPr="001E3E91" w:rsidRDefault="00560ED6" w:rsidP="00560ED6">
            <w:pPr>
              <w:tabs>
                <w:tab w:val="left" w:pos="993"/>
              </w:tabs>
              <w:contextualSpacing/>
              <w:jc w:val="both"/>
              <w:rPr>
                <w:b/>
              </w:rPr>
            </w:pPr>
            <w:r w:rsidRPr="001E3E91">
              <w:rPr>
                <w:b/>
              </w:rPr>
              <w:t>Требования к подрядной организации</w:t>
            </w:r>
          </w:p>
        </w:tc>
        <w:tc>
          <w:tcPr>
            <w:tcW w:w="7143" w:type="dxa"/>
          </w:tcPr>
          <w:p w14:paraId="19F5DFE0" w14:textId="669A0FE3" w:rsidR="007B2093" w:rsidRPr="007B2093" w:rsidRDefault="0040421F" w:rsidP="000B6BA9">
            <w:pPr>
              <w:tabs>
                <w:tab w:val="left" w:pos="993"/>
              </w:tabs>
              <w:contextualSpacing/>
              <w:jc w:val="both"/>
              <w:rPr>
                <w:color w:val="000000"/>
                <w:shd w:val="clear" w:color="auto" w:fill="FFFFFF"/>
              </w:rPr>
            </w:pPr>
            <w:r>
              <w:rPr>
                <w:color w:val="000000"/>
                <w:shd w:val="clear" w:color="auto" w:fill="FFFFFF"/>
              </w:rPr>
              <w:t>Подрядчик должен</w:t>
            </w:r>
            <w:r w:rsidR="007B2093">
              <w:rPr>
                <w:color w:val="000000"/>
                <w:shd w:val="clear" w:color="auto" w:fill="FFFFFF"/>
              </w:rPr>
              <w:t xml:space="preserve"> </w:t>
            </w:r>
            <w:r w:rsidR="007B2093" w:rsidRPr="007B2093">
              <w:rPr>
                <w:color w:val="000000"/>
                <w:shd w:val="clear" w:color="auto" w:fill="FFFFFF"/>
              </w:rPr>
              <w:t>име</w:t>
            </w:r>
            <w:r w:rsidR="007B2093">
              <w:rPr>
                <w:color w:val="000000"/>
                <w:shd w:val="clear" w:color="auto" w:fill="FFFFFF"/>
              </w:rPr>
              <w:t>ть</w:t>
            </w:r>
            <w:r w:rsidR="007B2093" w:rsidRPr="007B2093">
              <w:rPr>
                <w:color w:val="000000"/>
                <w:shd w:val="clear" w:color="auto" w:fill="FFFFFF"/>
              </w:rPr>
              <w:t xml:space="preserve"> опыт выполнения аналогичных работ, располага</w:t>
            </w:r>
            <w:r w:rsidR="0083025E">
              <w:rPr>
                <w:color w:val="000000"/>
                <w:shd w:val="clear" w:color="auto" w:fill="FFFFFF"/>
              </w:rPr>
              <w:t>ть</w:t>
            </w:r>
            <w:bookmarkStart w:id="1" w:name="_GoBack"/>
            <w:bookmarkEnd w:id="1"/>
            <w:r w:rsidR="007B2093" w:rsidRPr="007B2093">
              <w:rPr>
                <w:color w:val="000000"/>
                <w:shd w:val="clear" w:color="auto" w:fill="FFFFFF"/>
              </w:rPr>
              <w:t xml:space="preserve"> техническими средствами и оснасткой, необходимой для выполнения качественной работы;</w:t>
            </w:r>
          </w:p>
          <w:p w14:paraId="24F3A324" w14:textId="6316364C" w:rsidR="007B2093" w:rsidRPr="007B2093" w:rsidRDefault="007B2093" w:rsidP="000B6BA9">
            <w:pPr>
              <w:tabs>
                <w:tab w:val="left" w:pos="993"/>
              </w:tabs>
              <w:contextualSpacing/>
              <w:jc w:val="both"/>
              <w:rPr>
                <w:color w:val="000000"/>
                <w:shd w:val="clear" w:color="auto" w:fill="FFFFFF"/>
              </w:rPr>
            </w:pPr>
            <w:r w:rsidRPr="007B2093">
              <w:rPr>
                <w:color w:val="000000"/>
                <w:shd w:val="clear" w:color="auto" w:fill="FFFFFF"/>
              </w:rPr>
              <w:t>Наличие опыта оказания аналогичных услуг не менее 5 лет;</w:t>
            </w:r>
          </w:p>
          <w:p w14:paraId="22A9EC72" w14:textId="09DDEA38" w:rsidR="007B2093" w:rsidRPr="007B2093" w:rsidRDefault="007B2093" w:rsidP="000B6BA9">
            <w:pPr>
              <w:tabs>
                <w:tab w:val="left" w:pos="993"/>
              </w:tabs>
              <w:contextualSpacing/>
              <w:jc w:val="both"/>
              <w:rPr>
                <w:color w:val="000000"/>
                <w:shd w:val="clear" w:color="auto" w:fill="FFFFFF"/>
              </w:rPr>
            </w:pPr>
            <w:r w:rsidRPr="007B2093">
              <w:rPr>
                <w:color w:val="000000"/>
                <w:shd w:val="clear" w:color="auto" w:fill="FFFFFF"/>
              </w:rPr>
              <w:t>Членство в СРО;</w:t>
            </w:r>
          </w:p>
          <w:p w14:paraId="6F6AAD23" w14:textId="58DBBB4E" w:rsidR="00FB7E0F" w:rsidRPr="001E3E91" w:rsidRDefault="007B2093" w:rsidP="0052732D">
            <w:pPr>
              <w:tabs>
                <w:tab w:val="left" w:pos="993"/>
              </w:tabs>
              <w:contextualSpacing/>
            </w:pPr>
            <w:r w:rsidRPr="007B2093">
              <w:rPr>
                <w:color w:val="000000"/>
                <w:shd w:val="clear" w:color="auto" w:fill="FFFFFF"/>
              </w:rPr>
              <w:t>Наличие у лиц, допущенных к производству работ, профессиональной подготовки, подтвержденной удостоверениями на право</w:t>
            </w:r>
            <w:r>
              <w:rPr>
                <w:color w:val="000000"/>
                <w:shd w:val="clear" w:color="auto" w:fill="FFFFFF"/>
              </w:rPr>
              <w:t xml:space="preserve"> </w:t>
            </w:r>
            <w:r w:rsidRPr="007B2093">
              <w:rPr>
                <w:color w:val="000000"/>
                <w:shd w:val="clear" w:color="auto" w:fill="FFFFFF"/>
              </w:rPr>
              <w:t>работы на высоте, проведение огневых работ.</w:t>
            </w:r>
            <w:r>
              <w:rPr>
                <w:color w:val="000000"/>
                <w:shd w:val="clear" w:color="auto" w:fill="FFFFFF"/>
              </w:rPr>
              <w:t xml:space="preserve"> </w:t>
            </w:r>
            <w:r>
              <w:rPr>
                <w:color w:val="000000"/>
              </w:rPr>
              <w:br/>
            </w:r>
            <w:r w:rsidR="00FB7E0F" w:rsidRPr="00FB7E0F">
              <w:t xml:space="preserve">Подрядчик отвечает за соблюдение техники безопасности противопожарную безопасность экологическую безопасность в ходе выполнения Работ, полностью несет расходы и ответственность, связанные с несчастными случаями во время выполнения Работ, в том числе повлекшими за собой смертельный исход, в рамках исполнения настоящего Договора. Гражданство пострадавшего при этом не имеет значения.  Подрядчик также несет ответственность за ущерб, причиненный имуществу Заказчика, сотрудников Заказчика, иных лиц. Подрядчик </w:t>
            </w:r>
            <w:proofErr w:type="gramStart"/>
            <w:r w:rsidR="00FB7E0F" w:rsidRPr="00FB7E0F">
              <w:t>обязан обеспечить соблюдение миграционного законодательства РФ и несет</w:t>
            </w:r>
            <w:proofErr w:type="gramEnd"/>
            <w:r w:rsidR="00FB7E0F" w:rsidRPr="00FB7E0F">
              <w:t xml:space="preserve"> полную ответственность за все случаи нарушения порядка привлечения к работе иностранных граждан, прочие нарушения миграционного законодательства РФ.</w:t>
            </w:r>
          </w:p>
        </w:tc>
      </w:tr>
      <w:tr w:rsidR="00FB7E0F" w:rsidRPr="001E3E91" w14:paraId="049BE698" w14:textId="77777777" w:rsidTr="008B3519">
        <w:tc>
          <w:tcPr>
            <w:tcW w:w="977" w:type="dxa"/>
          </w:tcPr>
          <w:p w14:paraId="2E9B6963" w14:textId="42351C8A" w:rsidR="00FB7E0F" w:rsidRDefault="0089328A" w:rsidP="00560ED6">
            <w:pPr>
              <w:tabs>
                <w:tab w:val="left" w:pos="993"/>
              </w:tabs>
              <w:contextualSpacing/>
              <w:jc w:val="center"/>
              <w:rPr>
                <w:b/>
              </w:rPr>
            </w:pPr>
            <w:r>
              <w:rPr>
                <w:b/>
              </w:rPr>
              <w:t>10</w:t>
            </w:r>
          </w:p>
        </w:tc>
        <w:tc>
          <w:tcPr>
            <w:tcW w:w="2512" w:type="dxa"/>
          </w:tcPr>
          <w:p w14:paraId="1B26D166" w14:textId="568AA458" w:rsidR="00FB7E0F" w:rsidRPr="001E3E91" w:rsidRDefault="00FB7E0F" w:rsidP="00560ED6">
            <w:pPr>
              <w:tabs>
                <w:tab w:val="left" w:pos="993"/>
              </w:tabs>
              <w:contextualSpacing/>
              <w:jc w:val="both"/>
              <w:rPr>
                <w:b/>
              </w:rPr>
            </w:pPr>
            <w:r>
              <w:rPr>
                <w:b/>
              </w:rPr>
              <w:t>Требования к сметной документации</w:t>
            </w:r>
          </w:p>
        </w:tc>
        <w:tc>
          <w:tcPr>
            <w:tcW w:w="7143" w:type="dxa"/>
          </w:tcPr>
          <w:p w14:paraId="6573C57C" w14:textId="5A66FE11" w:rsidR="00FB7E0F" w:rsidRPr="00FB7E0F" w:rsidRDefault="00FF0FF8" w:rsidP="00FB7E0F">
            <w:pPr>
              <w:tabs>
                <w:tab w:val="left" w:pos="1365"/>
              </w:tabs>
              <w:ind w:left="709" w:hanging="709"/>
              <w:jc w:val="both"/>
            </w:pPr>
            <w:r>
              <w:t xml:space="preserve">1. </w:t>
            </w:r>
            <w:r w:rsidR="00FB7E0F" w:rsidRPr="00FB7E0F">
              <w:t>Основанием для сметного расчёта является утверждённая проектная документация или ведомость объёмов работ (дефектная ведомость), составленная при непосредственном участии представителей службы Заказчика.</w:t>
            </w:r>
          </w:p>
          <w:p w14:paraId="256C18EB" w14:textId="77777777" w:rsidR="00FB7E0F" w:rsidRPr="00FB7E0F" w:rsidRDefault="00FB7E0F" w:rsidP="00FB7E0F">
            <w:pPr>
              <w:tabs>
                <w:tab w:val="left" w:pos="1365"/>
              </w:tabs>
              <w:ind w:left="567" w:hanging="567"/>
              <w:jc w:val="both"/>
            </w:pPr>
            <w:r w:rsidRPr="00FB7E0F">
              <w:t xml:space="preserve">2.  Сметная документация для подрядных работ составляется базисно-индексным методом с применением ФЕР, </w:t>
            </w:r>
            <w:proofErr w:type="spellStart"/>
            <w:r w:rsidRPr="00FB7E0F">
              <w:t>ФЕРр</w:t>
            </w:r>
            <w:proofErr w:type="spellEnd"/>
            <w:r w:rsidRPr="00FB7E0F">
              <w:t xml:space="preserve">, </w:t>
            </w:r>
            <w:proofErr w:type="spellStart"/>
            <w:r w:rsidRPr="00FB7E0F">
              <w:t>ФЕРм</w:t>
            </w:r>
            <w:proofErr w:type="spellEnd"/>
            <w:r w:rsidRPr="00FB7E0F">
              <w:t xml:space="preserve">, </w:t>
            </w:r>
            <w:proofErr w:type="spellStart"/>
            <w:r w:rsidRPr="00FB7E0F">
              <w:t>ФЕРп</w:t>
            </w:r>
            <w:proofErr w:type="spellEnd"/>
            <w:r w:rsidRPr="00FB7E0F">
              <w:t xml:space="preserve"> в редакции 2017 г. (при введении в действие в течение 2020 г. новой нормативной базы применяется актуальная на момент составления сметы база); укрупнённых индексов изменения сметной стоимости по статьям затрат на 3 квартал 2019 года соответствующего региона по каждой расценке, разработанных Министерством Строительства и Жилищно-коммунального хозяйства РФ, в течение всего 2020 г.</w:t>
            </w:r>
          </w:p>
          <w:p w14:paraId="3F04A4F2" w14:textId="2D77835A" w:rsidR="00FB7E0F" w:rsidRPr="00FB7E0F" w:rsidRDefault="00FB7E0F" w:rsidP="00FB7E0F">
            <w:pPr>
              <w:tabs>
                <w:tab w:val="left" w:pos="1365"/>
              </w:tabs>
              <w:ind w:left="709" w:hanging="709"/>
              <w:jc w:val="both"/>
            </w:pPr>
            <w:r w:rsidRPr="00FB7E0F">
              <w:t xml:space="preserve">3. </w:t>
            </w:r>
            <w:r w:rsidR="0040421F" w:rsidRPr="00FB7E0F">
              <w:t>Сметная документация предоставляется</w:t>
            </w:r>
            <w:r w:rsidRPr="00FB7E0F">
              <w:t xml:space="preserve"> в бумажном и электронном виде, формате </w:t>
            </w:r>
            <w:r w:rsidRPr="00FB7E0F">
              <w:rPr>
                <w:lang w:val="en-US"/>
              </w:rPr>
              <w:t>XML</w:t>
            </w:r>
            <w:r w:rsidRPr="00FB7E0F">
              <w:t xml:space="preserve"> (при составлении сметы в программе «ГРАНД-Смета») и формате </w:t>
            </w:r>
            <w:r w:rsidRPr="00FB7E0F">
              <w:rPr>
                <w:lang w:val="en-US"/>
              </w:rPr>
              <w:t>EXCEL</w:t>
            </w:r>
            <w:r w:rsidRPr="00FB7E0F">
              <w:t xml:space="preserve">. Форма сметы: полный локальный сметный расчет из 17 граф, с раскрытием </w:t>
            </w:r>
            <w:r w:rsidR="0040421F" w:rsidRPr="00FB7E0F">
              <w:t>ресурсов, понижающих</w:t>
            </w:r>
            <w:r w:rsidRPr="00FB7E0F">
              <w:t xml:space="preserve"> и повышающих коэффициентов.</w:t>
            </w:r>
          </w:p>
          <w:p w14:paraId="3038ACE2" w14:textId="77777777" w:rsidR="00FB7E0F" w:rsidRPr="00FB7E0F" w:rsidRDefault="00FB7E0F" w:rsidP="00FB7E0F">
            <w:pPr>
              <w:tabs>
                <w:tab w:val="left" w:pos="1365"/>
              </w:tabs>
              <w:jc w:val="both"/>
            </w:pPr>
            <w:r w:rsidRPr="00FB7E0F">
              <w:t xml:space="preserve">4. Величина </w:t>
            </w:r>
            <w:r w:rsidRPr="00FB7E0F">
              <w:rPr>
                <w:b/>
              </w:rPr>
              <w:t>накладных расходов</w:t>
            </w:r>
            <w:r w:rsidRPr="00FB7E0F">
              <w:t xml:space="preserve"> определяется:</w:t>
            </w:r>
          </w:p>
          <w:p w14:paraId="094D3332" w14:textId="5A371A91" w:rsidR="00FB7E0F" w:rsidRPr="00FB7E0F" w:rsidRDefault="005F5062" w:rsidP="005F5062">
            <w:pPr>
              <w:tabs>
                <w:tab w:val="left" w:pos="1365"/>
              </w:tabs>
              <w:ind w:left="709"/>
              <w:jc w:val="both"/>
            </w:pPr>
            <w:r>
              <w:t xml:space="preserve">- </w:t>
            </w:r>
            <w:r w:rsidR="00FB7E0F" w:rsidRPr="00FB7E0F">
              <w:t>по видам работ от суммарной величины средств на оплату труда, в соответствии с действующими «Методическими указаниями Государственного комитета РФ по строительству и ЖКХ по определению величины накладных расходов в строительстве МДС 81-33.2004»;</w:t>
            </w:r>
          </w:p>
          <w:p w14:paraId="71B1B783" w14:textId="06033AC1" w:rsidR="00FB7E0F" w:rsidRPr="00FB7E0F" w:rsidRDefault="005F5062" w:rsidP="005F5062">
            <w:pPr>
              <w:tabs>
                <w:tab w:val="left" w:pos="1365"/>
              </w:tabs>
              <w:ind w:left="709"/>
              <w:jc w:val="both"/>
            </w:pPr>
            <w:r>
              <w:t xml:space="preserve">- </w:t>
            </w:r>
            <w:r w:rsidR="00FB7E0F" w:rsidRPr="00FB7E0F">
              <w:t>к накладным расходам для упрощённой системы налогообложения применяется коэффициент</w:t>
            </w:r>
            <w:proofErr w:type="gramStart"/>
            <w:r w:rsidR="00FB7E0F" w:rsidRPr="00FB7E0F">
              <w:t xml:space="preserve"> </w:t>
            </w:r>
            <w:r w:rsidR="00FB7E0F" w:rsidRPr="00FB7E0F">
              <w:rPr>
                <w:b/>
              </w:rPr>
              <w:t>К</w:t>
            </w:r>
            <w:proofErr w:type="gramEnd"/>
            <w:r w:rsidR="00FB7E0F" w:rsidRPr="00FB7E0F">
              <w:rPr>
                <w:b/>
              </w:rPr>
              <w:t>=0,94</w:t>
            </w:r>
            <w:r w:rsidR="00FB7E0F" w:rsidRPr="00FB7E0F">
              <w:t>;</w:t>
            </w:r>
          </w:p>
          <w:p w14:paraId="49DA1F31" w14:textId="0590328B" w:rsidR="00FB7E0F" w:rsidRPr="00FB7E0F" w:rsidRDefault="005F5062" w:rsidP="005F5062">
            <w:pPr>
              <w:tabs>
                <w:tab w:val="left" w:pos="1365"/>
              </w:tabs>
              <w:ind w:left="709"/>
              <w:jc w:val="both"/>
            </w:pPr>
            <w:r>
              <w:t xml:space="preserve">- </w:t>
            </w:r>
            <w:r w:rsidR="00FB7E0F" w:rsidRPr="00FB7E0F">
              <w:t xml:space="preserve">при определении сметной стоимости ремонтных работ в жилых и общественных зданиях, аналогичных технологическим процессам в новом строительстве (в том числе возведение конструктивных элементов в ремонтируемом здании), нормативы накладных расходов </w:t>
            </w:r>
            <w:r w:rsidR="00FB7E0F" w:rsidRPr="00FB7E0F">
              <w:lastRenderedPageBreak/>
              <w:t>применяются с коэффициентом</w:t>
            </w:r>
            <w:proofErr w:type="gramStart"/>
            <w:r w:rsidR="00FB7E0F" w:rsidRPr="00FB7E0F">
              <w:t xml:space="preserve"> </w:t>
            </w:r>
            <w:r w:rsidR="00FB7E0F" w:rsidRPr="00FB7E0F">
              <w:rPr>
                <w:b/>
              </w:rPr>
              <w:t>К</w:t>
            </w:r>
            <w:proofErr w:type="gramEnd"/>
            <w:r w:rsidR="00FB7E0F" w:rsidRPr="00FB7E0F">
              <w:rPr>
                <w:b/>
              </w:rPr>
              <w:t>=0,9</w:t>
            </w:r>
            <w:r w:rsidR="00FB7E0F" w:rsidRPr="00FB7E0F">
              <w:t xml:space="preserve"> (примечания п. 1 к МДС 81-33.2004). </w:t>
            </w:r>
            <w:r w:rsidR="00FB7E0F" w:rsidRPr="00FB7E0F">
              <w:rPr>
                <w:color w:val="000000"/>
              </w:rPr>
              <w:t xml:space="preserve">Для производственных зданий коэффициент </w:t>
            </w:r>
            <w:r w:rsidR="00FB7E0F" w:rsidRPr="00FB7E0F">
              <w:rPr>
                <w:b/>
                <w:color w:val="000000"/>
              </w:rPr>
              <w:t>0,9</w:t>
            </w:r>
            <w:r w:rsidR="00FB7E0F" w:rsidRPr="00FB7E0F">
              <w:rPr>
                <w:color w:val="000000"/>
              </w:rPr>
              <w:t xml:space="preserve"> не применяется.</w:t>
            </w:r>
          </w:p>
          <w:p w14:paraId="4FEB655B" w14:textId="77777777" w:rsidR="00FB7E0F" w:rsidRPr="00FB7E0F" w:rsidRDefault="00FB7E0F" w:rsidP="00FB7E0F">
            <w:pPr>
              <w:tabs>
                <w:tab w:val="left" w:pos="1365"/>
              </w:tabs>
              <w:jc w:val="both"/>
            </w:pPr>
            <w:r w:rsidRPr="00FB7E0F">
              <w:t xml:space="preserve">5. Величина </w:t>
            </w:r>
            <w:r w:rsidRPr="00FB7E0F">
              <w:rPr>
                <w:b/>
              </w:rPr>
              <w:t>сметной прибыли</w:t>
            </w:r>
            <w:r w:rsidRPr="00FB7E0F">
              <w:t xml:space="preserve"> определяется:</w:t>
            </w:r>
          </w:p>
          <w:p w14:paraId="149C23A3" w14:textId="10469DBF" w:rsidR="00FB7E0F" w:rsidRPr="00FB7E0F" w:rsidRDefault="005F5062" w:rsidP="005F5062">
            <w:pPr>
              <w:tabs>
                <w:tab w:val="left" w:pos="1365"/>
              </w:tabs>
              <w:ind w:left="709"/>
              <w:jc w:val="both"/>
            </w:pPr>
            <w:r>
              <w:t xml:space="preserve">- </w:t>
            </w:r>
            <w:r w:rsidR="00FB7E0F" w:rsidRPr="00FB7E0F">
              <w:t>по видам работ от суммарной величины средств на оплату труда, в соответствии с действующими «Методическими указаниями Государственного комитета РФ по строительству и ЖКХ по определению величины сметной прибыли в строительстве МДС 81-25.2001»;</w:t>
            </w:r>
          </w:p>
          <w:p w14:paraId="450FD3F2" w14:textId="2871D68D" w:rsidR="00FB7E0F" w:rsidRPr="00FB7E0F" w:rsidRDefault="005F5062" w:rsidP="005F5062">
            <w:pPr>
              <w:tabs>
                <w:tab w:val="left" w:pos="1365"/>
              </w:tabs>
              <w:ind w:left="709"/>
              <w:jc w:val="both"/>
            </w:pPr>
            <w:r>
              <w:t xml:space="preserve">- </w:t>
            </w:r>
            <w:r w:rsidR="00FB7E0F" w:rsidRPr="00FB7E0F">
              <w:t>к сметной прибыли для упрощённой системы налогообложения применяется коэффициент</w:t>
            </w:r>
            <w:proofErr w:type="gramStart"/>
            <w:r w:rsidR="00FB7E0F" w:rsidRPr="00FB7E0F">
              <w:t xml:space="preserve"> </w:t>
            </w:r>
            <w:r w:rsidR="00FB7E0F" w:rsidRPr="00FB7E0F">
              <w:rPr>
                <w:b/>
              </w:rPr>
              <w:t>К</w:t>
            </w:r>
            <w:proofErr w:type="gramEnd"/>
            <w:r w:rsidR="00FB7E0F" w:rsidRPr="00FB7E0F">
              <w:rPr>
                <w:b/>
              </w:rPr>
              <w:t>=0,9</w:t>
            </w:r>
            <w:r w:rsidR="00FB7E0F" w:rsidRPr="00FB7E0F">
              <w:t>;</w:t>
            </w:r>
          </w:p>
          <w:p w14:paraId="0B42B971" w14:textId="78111A7B" w:rsidR="00FB7E0F" w:rsidRPr="00FB7E0F" w:rsidRDefault="005F5062" w:rsidP="005F5062">
            <w:pPr>
              <w:tabs>
                <w:tab w:val="left" w:pos="1365"/>
              </w:tabs>
              <w:ind w:left="709"/>
              <w:jc w:val="both"/>
            </w:pPr>
            <w:r>
              <w:t xml:space="preserve">- </w:t>
            </w:r>
            <w:r w:rsidR="00FB7E0F" w:rsidRPr="00FB7E0F">
              <w:t>при определении сметной стоимости ремонтных работ в жилых и общественных зданиях, аналогичных технологическим процессам в новом строительстве (в том числе возведение конструктивных элементов в ремонтируемом здании),  нормативы сметной прибыли применяются с коэффициентом</w:t>
            </w:r>
            <w:proofErr w:type="gramStart"/>
            <w:r w:rsidR="00FB7E0F" w:rsidRPr="00FB7E0F">
              <w:t xml:space="preserve"> </w:t>
            </w:r>
            <w:r w:rsidR="00FB7E0F" w:rsidRPr="00FB7E0F">
              <w:rPr>
                <w:b/>
              </w:rPr>
              <w:t>К</w:t>
            </w:r>
            <w:proofErr w:type="gramEnd"/>
            <w:r w:rsidR="00FB7E0F" w:rsidRPr="00FB7E0F">
              <w:rPr>
                <w:b/>
              </w:rPr>
              <w:t>=0,85</w:t>
            </w:r>
            <w:r w:rsidR="00FB7E0F" w:rsidRPr="00FB7E0F">
              <w:t xml:space="preserve"> (примечания п. 1 к МДС 81-25.2001).</w:t>
            </w:r>
          </w:p>
          <w:p w14:paraId="19D0E551" w14:textId="77777777" w:rsidR="00FB7E0F" w:rsidRPr="00FB7E0F" w:rsidRDefault="00FB7E0F" w:rsidP="00FB7E0F">
            <w:pPr>
              <w:tabs>
                <w:tab w:val="left" w:pos="1365"/>
              </w:tabs>
              <w:ind w:left="709" w:hanging="709"/>
              <w:jc w:val="both"/>
              <w:rPr>
                <w:rFonts w:eastAsia="Microsoft Sans Serif"/>
              </w:rPr>
            </w:pPr>
            <w:r w:rsidRPr="00FB7E0F">
              <w:t xml:space="preserve">6. Стоимость материалов и оборудования (за исключением давальческих материалов и оборудования Заказчика) определяется на основании цен, сложившихся на момент расчета сметной стоимости работ, и согласовывается с Заказчиком. При этом цена на материалы и оборудование не может превышать среднюю оптовую цену по региону, согласно мониторингу цен, проводимому Заказчиком. Стоимость основных материалов и оборудования, применяемых в сметной документации на стадии согласования сметных расчётов, подтверждается прайс-листами или счетами поставщиков. Стоимость материалов, не являющихся  основной затратной частью (ветошь, битум, болты строительные с гайками и шайбами, электроды, </w:t>
            </w:r>
            <w:proofErr w:type="spellStart"/>
            <w:r w:rsidRPr="00FB7E0F">
              <w:t>паронитовые</w:t>
            </w:r>
            <w:proofErr w:type="spellEnd"/>
            <w:r w:rsidRPr="00FB7E0F">
              <w:t xml:space="preserve"> прокладки и т.д.), должна определяться в базисных ценах с применением индексов на 3 квартал 2019 г. Фактически не используемые для работы материалы, машины и механизмы необходимо удалять из расценок. В актах выполненных работ формы КС-2 стоимость основных материалов (товарный бетон, </w:t>
            </w:r>
            <w:proofErr w:type="gramStart"/>
            <w:r w:rsidRPr="00FB7E0F">
              <w:t>ж/б</w:t>
            </w:r>
            <w:proofErr w:type="gramEnd"/>
            <w:r w:rsidRPr="00FB7E0F">
              <w:t xml:space="preserve"> изделия, инертные  материалы и т.д.), а также стоимость оборудования должны подтверждаться бухгалтерскими документами фактической их оплаты. </w:t>
            </w:r>
            <w:r w:rsidRPr="00FB7E0F">
              <w:rPr>
                <w:rFonts w:eastAsia="Microsoft Sans Serif"/>
              </w:rPr>
              <w:t xml:space="preserve">В случае обнаружения Заказчиком фактов завышения стоимости материалов и оборудования, приобретенных без согласования с ним, Заказчик оставляет за собой право удержать из выполнения сумму завышения. </w:t>
            </w:r>
          </w:p>
          <w:p w14:paraId="180E0DF1" w14:textId="77777777" w:rsidR="00FB7E0F" w:rsidRDefault="00FB7E0F" w:rsidP="00FB7E0F">
            <w:pPr>
              <w:tabs>
                <w:tab w:val="left" w:pos="1365"/>
              </w:tabs>
              <w:ind w:left="709" w:hanging="709"/>
              <w:jc w:val="both"/>
            </w:pPr>
            <w:r w:rsidRPr="00FB7E0F">
              <w:t>7. Лимитированные затраты, такие как: непредвиденные расходы, зимние удорожания, временные здания и сооружения, заготовительно-складские расходы, транспортные, командировочные расходы и т.д. в сметных расчётах и актах выполненных работ не применяются.</w:t>
            </w:r>
          </w:p>
          <w:p w14:paraId="3B3BEA65" w14:textId="45F76763" w:rsidR="00CA7404" w:rsidRPr="00FB7E0F" w:rsidRDefault="00CA7404" w:rsidP="00FB7E0F">
            <w:pPr>
              <w:tabs>
                <w:tab w:val="left" w:pos="1365"/>
              </w:tabs>
              <w:ind w:left="709" w:hanging="709"/>
              <w:jc w:val="both"/>
            </w:pPr>
          </w:p>
        </w:tc>
      </w:tr>
      <w:bookmarkEnd w:id="0"/>
    </w:tbl>
    <w:p w14:paraId="6FBDB846" w14:textId="7A5D4BCB" w:rsidR="00CA3D4F" w:rsidRPr="000C2F6E" w:rsidRDefault="00CA3D4F" w:rsidP="00CA3D4F">
      <w:pPr>
        <w:tabs>
          <w:tab w:val="left" w:pos="993"/>
        </w:tabs>
        <w:contextualSpacing/>
        <w:jc w:val="center"/>
        <w:rPr>
          <w:rFonts w:asciiTheme="minorHAnsi" w:hAnsiTheme="minorHAnsi" w:cstheme="minorHAnsi"/>
          <w:b/>
          <w:u w:val="single"/>
        </w:rPr>
      </w:pPr>
    </w:p>
    <w:sectPr w:rsidR="00CA3D4F" w:rsidRPr="000C2F6E" w:rsidSect="00232574">
      <w:footerReference w:type="even" r:id="rId9"/>
      <w:footerReference w:type="default" r:id="rId10"/>
      <w:footerReference w:type="firs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60C99" w14:textId="77777777" w:rsidR="00C93B00" w:rsidRDefault="00C93B00">
      <w:r>
        <w:separator/>
      </w:r>
    </w:p>
  </w:endnote>
  <w:endnote w:type="continuationSeparator" w:id="0">
    <w:p w14:paraId="4FD410FF" w14:textId="77777777" w:rsidR="00C93B00" w:rsidRDefault="00C9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Narrow"/>
    <w:charset w:val="00"/>
    <w:family w:val="swiss"/>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1CBFC" w14:textId="77777777" w:rsidR="002552F5" w:rsidRPr="002552F5" w:rsidRDefault="002552F5" w:rsidP="002552F5">
    <w:r w:rsidRPr="002552F5">
      <w:fldChar w:fldCharType="begin"/>
    </w:r>
    <w:r w:rsidRPr="002552F5">
      <w:instrText xml:space="preserve">PAGE  </w:instrText>
    </w:r>
    <w:r w:rsidRPr="002552F5">
      <w:fldChar w:fldCharType="separate"/>
    </w:r>
    <w:r w:rsidRPr="002552F5">
      <w:t>48</w:t>
    </w:r>
    <w:r w:rsidRPr="002552F5">
      <w:fldChar w:fldCharType="end"/>
    </w:r>
  </w:p>
  <w:p w14:paraId="675B635A" w14:textId="77777777" w:rsidR="002552F5" w:rsidRPr="002552F5" w:rsidRDefault="002552F5" w:rsidP="002552F5"/>
  <w:p w14:paraId="37FF679C" w14:textId="77777777" w:rsidR="002552F5" w:rsidRPr="002552F5" w:rsidRDefault="002552F5" w:rsidP="002552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8464" w14:textId="77777777" w:rsidR="002552F5" w:rsidRPr="002552F5" w:rsidRDefault="002552F5" w:rsidP="002552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97EF4" w14:textId="77777777" w:rsidR="002552F5" w:rsidRPr="002552F5" w:rsidRDefault="002552F5" w:rsidP="002552F5">
    <w:r w:rsidRPr="002552F5">
      <w:t>_____________Заказчик</w:t>
    </w:r>
    <w:r w:rsidRPr="002552F5">
      <w:tab/>
    </w:r>
    <w:r w:rsidRPr="002552F5">
      <w:tab/>
      <w:t>______________ Исполнитель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502A2" w14:textId="77777777" w:rsidR="00C93B00" w:rsidRDefault="00C93B00">
      <w:r>
        <w:separator/>
      </w:r>
    </w:p>
  </w:footnote>
  <w:footnote w:type="continuationSeparator" w:id="0">
    <w:p w14:paraId="33835D6E" w14:textId="77777777" w:rsidR="00C93B00" w:rsidRDefault="00C93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4B5"/>
    <w:multiLevelType w:val="hybridMultilevel"/>
    <w:tmpl w:val="D81E86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C75000"/>
    <w:multiLevelType w:val="multilevel"/>
    <w:tmpl w:val="9A924B0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62C537A"/>
    <w:multiLevelType w:val="multilevel"/>
    <w:tmpl w:val="9F1EE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9C537F"/>
    <w:multiLevelType w:val="hybridMultilevel"/>
    <w:tmpl w:val="0DAAAFBC"/>
    <w:lvl w:ilvl="0" w:tplc="D5FA87C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D784C3D"/>
    <w:multiLevelType w:val="hybridMultilevel"/>
    <w:tmpl w:val="23724B38"/>
    <w:lvl w:ilvl="0" w:tplc="A0241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6768F4"/>
    <w:multiLevelType w:val="hybridMultilevel"/>
    <w:tmpl w:val="6A84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C5633E"/>
    <w:multiLevelType w:val="hybridMultilevel"/>
    <w:tmpl w:val="188028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5061223"/>
    <w:multiLevelType w:val="hybridMultilevel"/>
    <w:tmpl w:val="104A3D4E"/>
    <w:lvl w:ilvl="0" w:tplc="9ACAB8DC">
      <w:start w:val="1"/>
      <w:numFmt w:val="bullet"/>
      <w:lvlText w:val="–"/>
      <w:lvlJc w:val="left"/>
      <w:pPr>
        <w:ind w:left="720" w:hanging="360"/>
      </w:pPr>
      <w:rPr>
        <w:rFonts w:ascii="Swis721 LtCn BT" w:hAnsi="Swis721 LtCn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38529C"/>
    <w:multiLevelType w:val="hybridMultilevel"/>
    <w:tmpl w:val="311C7A0A"/>
    <w:lvl w:ilvl="0" w:tplc="B4906A9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521676C"/>
    <w:multiLevelType w:val="hybridMultilevel"/>
    <w:tmpl w:val="F4CCD23C"/>
    <w:lvl w:ilvl="0" w:tplc="8440271E">
      <w:start w:val="1"/>
      <w:numFmt w:val="decimal"/>
      <w:lvlText w:val="%1."/>
      <w:lvlJc w:val="left"/>
      <w:pPr>
        <w:ind w:left="780" w:hanging="42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3457E9"/>
    <w:multiLevelType w:val="hybridMultilevel"/>
    <w:tmpl w:val="BB066EF6"/>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5B333F3"/>
    <w:multiLevelType w:val="hybridMultilevel"/>
    <w:tmpl w:val="19D8DE36"/>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6BD1310"/>
    <w:multiLevelType w:val="hybridMultilevel"/>
    <w:tmpl w:val="66065764"/>
    <w:lvl w:ilvl="0" w:tplc="E494B1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AB40EA2"/>
    <w:multiLevelType w:val="hybridMultilevel"/>
    <w:tmpl w:val="26C4A94C"/>
    <w:lvl w:ilvl="0" w:tplc="9ACAB8DC">
      <w:start w:val="1"/>
      <w:numFmt w:val="bullet"/>
      <w:lvlText w:val="–"/>
      <w:lvlJc w:val="left"/>
      <w:pPr>
        <w:ind w:left="720" w:hanging="360"/>
      </w:pPr>
      <w:rPr>
        <w:rFonts w:ascii="Swis721 LtCn BT" w:hAnsi="Swis721 LtCn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C0C3FF0"/>
    <w:multiLevelType w:val="hybridMultilevel"/>
    <w:tmpl w:val="2A242A86"/>
    <w:lvl w:ilvl="0" w:tplc="5C4433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D0E65A2"/>
    <w:multiLevelType w:val="hybridMultilevel"/>
    <w:tmpl w:val="37A4D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3C137E"/>
    <w:multiLevelType w:val="hybridMultilevel"/>
    <w:tmpl w:val="F5C40348"/>
    <w:lvl w:ilvl="0" w:tplc="18665EA2">
      <w:start w:val="1"/>
      <w:numFmt w:val="decimal"/>
      <w:lvlText w:val="%1."/>
      <w:lvlJc w:val="right"/>
      <w:pPr>
        <w:ind w:left="429" w:hanging="360"/>
      </w:pPr>
      <w:rPr>
        <w:rFonts w:hint="default"/>
        <w:sz w:val="1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A1074B"/>
    <w:multiLevelType w:val="hybridMultilevel"/>
    <w:tmpl w:val="CDA84A86"/>
    <w:lvl w:ilvl="0" w:tplc="5C4433A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55FC73A5"/>
    <w:multiLevelType w:val="hybridMultilevel"/>
    <w:tmpl w:val="2AA0879C"/>
    <w:lvl w:ilvl="0" w:tplc="DDF21670">
      <w:start w:val="1"/>
      <w:numFmt w:val="russianLower"/>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582451"/>
    <w:multiLevelType w:val="hybridMultilevel"/>
    <w:tmpl w:val="E362C296"/>
    <w:lvl w:ilvl="0" w:tplc="6E808BD0">
      <w:start w:val="1"/>
      <w:numFmt w:val="russianLow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367552"/>
    <w:multiLevelType w:val="hybridMultilevel"/>
    <w:tmpl w:val="24B8117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3">
    <w:nsid w:val="5F7B3BC0"/>
    <w:multiLevelType w:val="hybridMultilevel"/>
    <w:tmpl w:val="EA8CB714"/>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5721C54"/>
    <w:multiLevelType w:val="multilevel"/>
    <w:tmpl w:val="C80AE0A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2"/>
      <w:numFmt w:val="decimal"/>
      <w:lvlText w:val="%1.%2.%3."/>
      <w:lvlJc w:val="left"/>
      <w:pPr>
        <w:ind w:left="157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6A7302E4"/>
    <w:multiLevelType w:val="multilevel"/>
    <w:tmpl w:val="2AEADF5E"/>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8F679A"/>
    <w:multiLevelType w:val="multilevel"/>
    <w:tmpl w:val="62920EF2"/>
    <w:lvl w:ilvl="0">
      <w:start w:val="1"/>
      <w:numFmt w:val="decimal"/>
      <w:lvlText w:val="%1."/>
      <w:lvlJc w:val="left"/>
      <w:pPr>
        <w:ind w:left="720" w:hanging="720"/>
      </w:pPr>
      <w:rPr>
        <w:rFonts w:hint="default"/>
      </w:rPr>
    </w:lvl>
    <w:lvl w:ilvl="1">
      <w:start w:val="1"/>
      <w:numFmt w:val="decimal"/>
      <w:lvlText w:val="%1.%2."/>
      <w:lvlJc w:val="left"/>
      <w:pPr>
        <w:ind w:left="436"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7">
    <w:nsid w:val="732819C3"/>
    <w:multiLevelType w:val="hybridMultilevel"/>
    <w:tmpl w:val="EBF8514C"/>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591B9D"/>
    <w:multiLevelType w:val="hybridMultilevel"/>
    <w:tmpl w:val="37A4D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7E3299"/>
    <w:multiLevelType w:val="hybridMultilevel"/>
    <w:tmpl w:val="BDC267EE"/>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AFE4087"/>
    <w:multiLevelType w:val="hybridMultilevel"/>
    <w:tmpl w:val="74A8C720"/>
    <w:lvl w:ilvl="0" w:tplc="A0241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42246A"/>
    <w:multiLevelType w:val="hybridMultilevel"/>
    <w:tmpl w:val="7BF861E6"/>
    <w:lvl w:ilvl="0" w:tplc="5C4433A0">
      <w:start w:val="1"/>
      <w:numFmt w:val="bullet"/>
      <w:lvlText w:val=""/>
      <w:lvlJc w:val="left"/>
      <w:pPr>
        <w:ind w:left="644"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2"/>
  </w:num>
  <w:num w:numId="2">
    <w:abstractNumId w:val="6"/>
  </w:num>
  <w:num w:numId="3">
    <w:abstractNumId w:val="1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num>
  <w:num w:numId="15">
    <w:abstractNumId w:val="16"/>
  </w:num>
  <w:num w:numId="16">
    <w:abstractNumId w:val="31"/>
  </w:num>
  <w:num w:numId="17">
    <w:abstractNumId w:val="30"/>
  </w:num>
  <w:num w:numId="18">
    <w:abstractNumId w:val="4"/>
  </w:num>
  <w:num w:numId="19">
    <w:abstractNumId w:val="28"/>
  </w:num>
  <w:num w:numId="20">
    <w:abstractNumId w:val="1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num>
  <w:num w:numId="24">
    <w:abstractNumId w:val="10"/>
  </w:num>
  <w:num w:numId="25">
    <w:abstractNumId w:val="25"/>
  </w:num>
  <w:num w:numId="26">
    <w:abstractNumId w:val="2"/>
  </w:num>
  <w:num w:numId="27">
    <w:abstractNumId w:val="1"/>
  </w:num>
  <w:num w:numId="28">
    <w:abstractNumId w:val="14"/>
  </w:num>
  <w:num w:numId="29">
    <w:abstractNumId w:val="9"/>
  </w:num>
  <w:num w:numId="30">
    <w:abstractNumId w:val="0"/>
  </w:num>
  <w:num w:numId="31">
    <w:abstractNumId w:val="5"/>
  </w:num>
  <w:num w:numId="32">
    <w:abstractNumId w:val="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58"/>
    <w:rsid w:val="00001CC6"/>
    <w:rsid w:val="00013DE2"/>
    <w:rsid w:val="00017211"/>
    <w:rsid w:val="000634D0"/>
    <w:rsid w:val="000836A4"/>
    <w:rsid w:val="000B6BA9"/>
    <w:rsid w:val="000C2F6E"/>
    <w:rsid w:val="000E0821"/>
    <w:rsid w:val="000F280A"/>
    <w:rsid w:val="00100B67"/>
    <w:rsid w:val="001041A1"/>
    <w:rsid w:val="00122708"/>
    <w:rsid w:val="001312D6"/>
    <w:rsid w:val="00163AB2"/>
    <w:rsid w:val="001724D1"/>
    <w:rsid w:val="001A40E9"/>
    <w:rsid w:val="001B16AE"/>
    <w:rsid w:val="001C25FC"/>
    <w:rsid w:val="001E0729"/>
    <w:rsid w:val="001E3E91"/>
    <w:rsid w:val="001E57D5"/>
    <w:rsid w:val="001F0CC5"/>
    <w:rsid w:val="001F20E9"/>
    <w:rsid w:val="0020044B"/>
    <w:rsid w:val="00226E60"/>
    <w:rsid w:val="00232574"/>
    <w:rsid w:val="00237C84"/>
    <w:rsid w:val="002552F5"/>
    <w:rsid w:val="00261D4B"/>
    <w:rsid w:val="002869CF"/>
    <w:rsid w:val="00290F45"/>
    <w:rsid w:val="002D3A22"/>
    <w:rsid w:val="00316213"/>
    <w:rsid w:val="00397C5B"/>
    <w:rsid w:val="003A0977"/>
    <w:rsid w:val="003A0D48"/>
    <w:rsid w:val="003B2FD4"/>
    <w:rsid w:val="0040421F"/>
    <w:rsid w:val="0041081E"/>
    <w:rsid w:val="00413061"/>
    <w:rsid w:val="00417D70"/>
    <w:rsid w:val="00451E20"/>
    <w:rsid w:val="00472480"/>
    <w:rsid w:val="00481B58"/>
    <w:rsid w:val="00494E8C"/>
    <w:rsid w:val="004D29D7"/>
    <w:rsid w:val="004D4537"/>
    <w:rsid w:val="00500941"/>
    <w:rsid w:val="0052148F"/>
    <w:rsid w:val="0052732D"/>
    <w:rsid w:val="00556521"/>
    <w:rsid w:val="00560187"/>
    <w:rsid w:val="00560ED6"/>
    <w:rsid w:val="00562124"/>
    <w:rsid w:val="00573235"/>
    <w:rsid w:val="005A3FBA"/>
    <w:rsid w:val="005E6D3E"/>
    <w:rsid w:val="005F5062"/>
    <w:rsid w:val="005F6F44"/>
    <w:rsid w:val="00624198"/>
    <w:rsid w:val="00626A59"/>
    <w:rsid w:val="00656E4C"/>
    <w:rsid w:val="00662131"/>
    <w:rsid w:val="006B09FA"/>
    <w:rsid w:val="006B4D74"/>
    <w:rsid w:val="006E5472"/>
    <w:rsid w:val="006F475A"/>
    <w:rsid w:val="007046E2"/>
    <w:rsid w:val="00704EE9"/>
    <w:rsid w:val="00712D91"/>
    <w:rsid w:val="00732D06"/>
    <w:rsid w:val="007812A2"/>
    <w:rsid w:val="007B2093"/>
    <w:rsid w:val="007D742C"/>
    <w:rsid w:val="0080697F"/>
    <w:rsid w:val="0083025E"/>
    <w:rsid w:val="0087030B"/>
    <w:rsid w:val="00876257"/>
    <w:rsid w:val="00876885"/>
    <w:rsid w:val="0089328A"/>
    <w:rsid w:val="008B3519"/>
    <w:rsid w:val="008D2632"/>
    <w:rsid w:val="008E2903"/>
    <w:rsid w:val="008E755A"/>
    <w:rsid w:val="008F319A"/>
    <w:rsid w:val="00910DEB"/>
    <w:rsid w:val="00916025"/>
    <w:rsid w:val="00923256"/>
    <w:rsid w:val="00925800"/>
    <w:rsid w:val="0092626C"/>
    <w:rsid w:val="00930BF8"/>
    <w:rsid w:val="00935CC9"/>
    <w:rsid w:val="00945B62"/>
    <w:rsid w:val="00950129"/>
    <w:rsid w:val="0096464E"/>
    <w:rsid w:val="009A12BB"/>
    <w:rsid w:val="00A5373B"/>
    <w:rsid w:val="00A80E68"/>
    <w:rsid w:val="00AD41C6"/>
    <w:rsid w:val="00AF706D"/>
    <w:rsid w:val="00B03F6E"/>
    <w:rsid w:val="00B1247A"/>
    <w:rsid w:val="00B256E0"/>
    <w:rsid w:val="00B80010"/>
    <w:rsid w:val="00B934A7"/>
    <w:rsid w:val="00BC36C6"/>
    <w:rsid w:val="00BD733F"/>
    <w:rsid w:val="00C01CEE"/>
    <w:rsid w:val="00C02083"/>
    <w:rsid w:val="00C17521"/>
    <w:rsid w:val="00C37A7E"/>
    <w:rsid w:val="00C52DA8"/>
    <w:rsid w:val="00C75D5B"/>
    <w:rsid w:val="00C93B00"/>
    <w:rsid w:val="00C96D7E"/>
    <w:rsid w:val="00CA2C97"/>
    <w:rsid w:val="00CA3D4F"/>
    <w:rsid w:val="00CA7404"/>
    <w:rsid w:val="00CB0E30"/>
    <w:rsid w:val="00CE3D49"/>
    <w:rsid w:val="00CF4545"/>
    <w:rsid w:val="00D24EA8"/>
    <w:rsid w:val="00D33752"/>
    <w:rsid w:val="00D710A2"/>
    <w:rsid w:val="00D71646"/>
    <w:rsid w:val="00D87D73"/>
    <w:rsid w:val="00DA4B2C"/>
    <w:rsid w:val="00DB6773"/>
    <w:rsid w:val="00E20EA3"/>
    <w:rsid w:val="00E23424"/>
    <w:rsid w:val="00E7344D"/>
    <w:rsid w:val="00E87774"/>
    <w:rsid w:val="00EA7F3C"/>
    <w:rsid w:val="00EC2526"/>
    <w:rsid w:val="00EF007E"/>
    <w:rsid w:val="00EF7354"/>
    <w:rsid w:val="00F01445"/>
    <w:rsid w:val="00F12679"/>
    <w:rsid w:val="00F20110"/>
    <w:rsid w:val="00F26A84"/>
    <w:rsid w:val="00F33DCE"/>
    <w:rsid w:val="00F34D36"/>
    <w:rsid w:val="00F527C9"/>
    <w:rsid w:val="00F7021A"/>
    <w:rsid w:val="00F87D30"/>
    <w:rsid w:val="00F919BD"/>
    <w:rsid w:val="00FA2CBF"/>
    <w:rsid w:val="00FB1CAE"/>
    <w:rsid w:val="00FB7E0F"/>
    <w:rsid w:val="00FC04AC"/>
    <w:rsid w:val="00FE4540"/>
    <w:rsid w:val="00FF0FF8"/>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3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параграфа (1.),1"/>
    <w:basedOn w:val="a"/>
    <w:next w:val="a"/>
    <w:link w:val="10"/>
    <w:qFormat/>
    <w:rsid w:val="00CB0E30"/>
    <w:pPr>
      <w:keepNext/>
      <w:spacing w:before="240" w:after="60"/>
      <w:outlineLvl w:val="0"/>
    </w:pPr>
    <w:rPr>
      <w:rFonts w:ascii="Arial" w:hAnsi="Arial" w:cs="Arial"/>
      <w:b/>
      <w:bCs/>
      <w:kern w:val="32"/>
      <w:sz w:val="32"/>
      <w:szCs w:val="32"/>
    </w:rPr>
  </w:style>
  <w:style w:type="paragraph" w:styleId="2">
    <w:name w:val="heading 2"/>
    <w:aliases w:val="H2,H2 Знак,Заголовок 21,h2,h21,5,Заголовок пункта (1.1),2,Заголовок 22,Numbered text 3,H21,H22,h22,H211,h211,H23,H24,H25"/>
    <w:basedOn w:val="a"/>
    <w:next w:val="a"/>
    <w:link w:val="20"/>
    <w:qFormat/>
    <w:rsid w:val="00CB0E3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0E3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B0E30"/>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1 Знак"/>
    <w:basedOn w:val="a0"/>
    <w:link w:val="1"/>
    <w:rsid w:val="00CB0E30"/>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h2 Знак,h21 Знак,5 Знак,Заголовок пункта (1.1) Знак,2 Знак,Заголовок 22 Знак,Numbered text 3 Знак,H21 Знак,H22 Знак,h22 Знак,H211 Знак,h211 Знак,H23 Знак,H24 Знак,H25 Знак"/>
    <w:basedOn w:val="a0"/>
    <w:link w:val="2"/>
    <w:rsid w:val="00CB0E3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0E30"/>
    <w:rPr>
      <w:rFonts w:ascii="Arial" w:eastAsia="Times New Roman" w:hAnsi="Arial" w:cs="Arial"/>
      <w:b/>
      <w:bCs/>
      <w:sz w:val="26"/>
      <w:szCs w:val="26"/>
      <w:lang w:eastAsia="ru-RU"/>
    </w:rPr>
  </w:style>
  <w:style w:type="character" w:customStyle="1" w:styleId="40">
    <w:name w:val="Заголовок 4 Знак"/>
    <w:basedOn w:val="a0"/>
    <w:link w:val="4"/>
    <w:rsid w:val="00CB0E30"/>
    <w:rPr>
      <w:rFonts w:asciiTheme="majorHAnsi" w:eastAsiaTheme="majorEastAsia" w:hAnsiTheme="majorHAnsi" w:cstheme="majorBidi"/>
      <w:b/>
      <w:bCs/>
      <w:i/>
      <w:iCs/>
      <w:color w:val="4472C4" w:themeColor="accent1"/>
      <w:sz w:val="24"/>
      <w:szCs w:val="24"/>
      <w:lang w:eastAsia="ru-RU"/>
    </w:rPr>
  </w:style>
  <w:style w:type="paragraph" w:styleId="a3">
    <w:name w:val="List Paragraph"/>
    <w:aliases w:val="Маркер,Bullet Number,Нумерованый список,List Paragraph1,Bullet List,FooterText,numbered,lp1"/>
    <w:basedOn w:val="a"/>
    <w:link w:val="a4"/>
    <w:qFormat/>
    <w:rsid w:val="00CB0E30"/>
    <w:pPr>
      <w:ind w:left="708"/>
    </w:pPr>
  </w:style>
  <w:style w:type="character" w:styleId="a5">
    <w:name w:val="footnote reference"/>
    <w:semiHidden/>
    <w:rsid w:val="00CB0E30"/>
    <w:rPr>
      <w:vertAlign w:val="superscript"/>
    </w:rPr>
  </w:style>
  <w:style w:type="paragraph" w:styleId="a6">
    <w:name w:val="footnote text"/>
    <w:basedOn w:val="a"/>
    <w:link w:val="a7"/>
    <w:semiHidden/>
    <w:rsid w:val="00CB0E30"/>
    <w:pPr>
      <w:widowControl w:val="0"/>
      <w:autoSpaceDE w:val="0"/>
      <w:autoSpaceDN w:val="0"/>
    </w:pPr>
    <w:rPr>
      <w:sz w:val="20"/>
      <w:szCs w:val="20"/>
    </w:rPr>
  </w:style>
  <w:style w:type="character" w:customStyle="1" w:styleId="a7">
    <w:name w:val="Текст сноски Знак"/>
    <w:basedOn w:val="a0"/>
    <w:link w:val="a6"/>
    <w:semiHidden/>
    <w:rsid w:val="00CB0E30"/>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0E30"/>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CB0E30"/>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CB0E30"/>
    <w:pPr>
      <w:ind w:firstLine="709"/>
      <w:jc w:val="both"/>
    </w:pPr>
    <w:rPr>
      <w:rFonts w:eastAsia="MS Mincho"/>
      <w:sz w:val="26"/>
    </w:rPr>
  </w:style>
  <w:style w:type="character" w:customStyle="1" w:styleId="11">
    <w:name w:val="Основной текст Знак1"/>
    <w:basedOn w:val="a0"/>
    <w:uiPriority w:val="99"/>
    <w:semiHidden/>
    <w:rsid w:val="00CB0E3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B0E30"/>
    <w:rPr>
      <w:rFonts w:ascii="Tahoma" w:hAnsi="Tahoma" w:cs="Tahoma"/>
      <w:sz w:val="16"/>
      <w:szCs w:val="16"/>
    </w:rPr>
  </w:style>
  <w:style w:type="character" w:customStyle="1" w:styleId="ab">
    <w:name w:val="Текст выноски Знак"/>
    <w:basedOn w:val="a0"/>
    <w:link w:val="aa"/>
    <w:semiHidden/>
    <w:rsid w:val="00CB0E30"/>
    <w:rPr>
      <w:rFonts w:ascii="Tahoma" w:eastAsia="Times New Roman" w:hAnsi="Tahoma" w:cs="Tahoma"/>
      <w:sz w:val="16"/>
      <w:szCs w:val="16"/>
      <w:lang w:eastAsia="ru-RU"/>
    </w:rPr>
  </w:style>
  <w:style w:type="character" w:styleId="ac">
    <w:name w:val="Hyperlink"/>
    <w:rsid w:val="00CB0E30"/>
    <w:rPr>
      <w:color w:val="0000FF"/>
      <w:u w:val="single"/>
    </w:rPr>
  </w:style>
  <w:style w:type="paragraph" w:styleId="ad">
    <w:name w:val="caption"/>
    <w:basedOn w:val="a"/>
    <w:next w:val="a"/>
    <w:autoRedefine/>
    <w:unhideWhenUsed/>
    <w:qFormat/>
    <w:rsid w:val="00CB0E30"/>
    <w:pPr>
      <w:keepNext/>
      <w:spacing w:before="120" w:after="120" w:line="288" w:lineRule="auto"/>
      <w:jc w:val="center"/>
    </w:pPr>
    <w:rPr>
      <w:rFonts w:eastAsia="Calibri"/>
      <w:b/>
      <w:bCs/>
      <w:sz w:val="28"/>
      <w:szCs w:val="28"/>
      <w:lang w:eastAsia="en-US"/>
    </w:rPr>
  </w:style>
  <w:style w:type="paragraph" w:styleId="21">
    <w:name w:val="Body Text 2"/>
    <w:basedOn w:val="a"/>
    <w:link w:val="22"/>
    <w:unhideWhenUsed/>
    <w:rsid w:val="00CB0E30"/>
    <w:pPr>
      <w:spacing w:after="120" w:line="480" w:lineRule="auto"/>
    </w:pPr>
  </w:style>
  <w:style w:type="character" w:customStyle="1" w:styleId="22">
    <w:name w:val="Основной текст 2 Знак"/>
    <w:basedOn w:val="a0"/>
    <w:link w:val="21"/>
    <w:rsid w:val="00CB0E30"/>
    <w:rPr>
      <w:rFonts w:ascii="Times New Roman" w:eastAsia="Times New Roman" w:hAnsi="Times New Roman" w:cs="Times New Roman"/>
      <w:sz w:val="24"/>
      <w:szCs w:val="24"/>
      <w:lang w:eastAsia="ru-RU"/>
    </w:rPr>
  </w:style>
  <w:style w:type="paragraph" w:styleId="ae">
    <w:name w:val="Title"/>
    <w:basedOn w:val="a"/>
    <w:link w:val="af"/>
    <w:qFormat/>
    <w:rsid w:val="00CB0E30"/>
    <w:pPr>
      <w:ind w:right="-346"/>
      <w:jc w:val="center"/>
    </w:pPr>
    <w:rPr>
      <w:b/>
      <w:bCs/>
      <w:color w:val="000000"/>
      <w:sz w:val="28"/>
      <w:szCs w:val="28"/>
    </w:rPr>
  </w:style>
  <w:style w:type="character" w:customStyle="1" w:styleId="af">
    <w:name w:val="Название Знак"/>
    <w:basedOn w:val="a0"/>
    <w:link w:val="ae"/>
    <w:rsid w:val="00CB0E30"/>
    <w:rPr>
      <w:rFonts w:ascii="Times New Roman" w:eastAsia="Times New Roman" w:hAnsi="Times New Roman" w:cs="Times New Roman"/>
      <w:b/>
      <w:bCs/>
      <w:color w:val="000000"/>
      <w:sz w:val="28"/>
      <w:szCs w:val="28"/>
      <w:lang w:eastAsia="ru-RU"/>
    </w:rPr>
  </w:style>
  <w:style w:type="paragraph" w:customStyle="1" w:styleId="12">
    <w:name w:val="Обычный1"/>
    <w:link w:val="Normal"/>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B0E30"/>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CB0E30"/>
    <w:pPr>
      <w:spacing w:after="120"/>
      <w:ind w:left="283"/>
    </w:pPr>
  </w:style>
  <w:style w:type="character" w:customStyle="1" w:styleId="af1">
    <w:name w:val="Основной текст с отступом Знак"/>
    <w:basedOn w:val="a0"/>
    <w:link w:val="af0"/>
    <w:uiPriority w:val="99"/>
    <w:semiHidden/>
    <w:rsid w:val="00CB0E30"/>
    <w:rPr>
      <w:rFonts w:ascii="Times New Roman" w:eastAsia="Times New Roman" w:hAnsi="Times New Roman" w:cs="Times New Roman"/>
      <w:sz w:val="24"/>
      <w:szCs w:val="24"/>
      <w:lang w:eastAsia="ru-RU"/>
    </w:rPr>
  </w:style>
  <w:style w:type="paragraph" w:customStyle="1" w:styleId="ConsNormal">
    <w:name w:val="ConsNormal"/>
    <w:uiPriority w:val="99"/>
    <w:rsid w:val="00CB0E30"/>
    <w:pPr>
      <w:widowControl w:val="0"/>
      <w:snapToGrid w:val="0"/>
      <w:spacing w:after="0" w:line="240" w:lineRule="auto"/>
      <w:ind w:firstLine="720"/>
    </w:pPr>
    <w:rPr>
      <w:rFonts w:ascii="Arial" w:eastAsia="Times New Roman" w:hAnsi="Arial" w:cs="Arial"/>
      <w:sz w:val="20"/>
      <w:szCs w:val="20"/>
      <w:lang w:eastAsia="ru-RU"/>
    </w:rPr>
  </w:style>
  <w:style w:type="paragraph" w:customStyle="1" w:styleId="110">
    <w:name w:val="Обычный11"/>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styleId="af2">
    <w:name w:val="annotation reference"/>
    <w:basedOn w:val="a0"/>
    <w:unhideWhenUsed/>
    <w:rsid w:val="00CB0E30"/>
    <w:rPr>
      <w:sz w:val="16"/>
      <w:szCs w:val="16"/>
    </w:rPr>
  </w:style>
  <w:style w:type="paragraph" w:styleId="af3">
    <w:name w:val="annotation text"/>
    <w:basedOn w:val="a"/>
    <w:link w:val="af4"/>
    <w:unhideWhenUsed/>
    <w:rsid w:val="00CB0E30"/>
    <w:rPr>
      <w:sz w:val="20"/>
      <w:szCs w:val="20"/>
    </w:rPr>
  </w:style>
  <w:style w:type="character" w:customStyle="1" w:styleId="af4">
    <w:name w:val="Текст примечания Знак"/>
    <w:basedOn w:val="a0"/>
    <w:link w:val="af3"/>
    <w:rsid w:val="00CB0E30"/>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CB0E30"/>
    <w:rPr>
      <w:b/>
      <w:bCs/>
    </w:rPr>
  </w:style>
  <w:style w:type="character" w:customStyle="1" w:styleId="af6">
    <w:name w:val="Тема примечания Знак"/>
    <w:basedOn w:val="af4"/>
    <w:link w:val="af5"/>
    <w:rsid w:val="00CB0E30"/>
    <w:rPr>
      <w:rFonts w:ascii="Times New Roman" w:eastAsia="Times New Roman" w:hAnsi="Times New Roman" w:cs="Times New Roman"/>
      <w:b/>
      <w:bCs/>
      <w:sz w:val="20"/>
      <w:szCs w:val="20"/>
      <w:lang w:eastAsia="ru-RU"/>
    </w:rPr>
  </w:style>
  <w:style w:type="paragraph" w:styleId="af7">
    <w:name w:val="footer"/>
    <w:basedOn w:val="a"/>
    <w:link w:val="af8"/>
    <w:rsid w:val="00CB0E30"/>
    <w:pPr>
      <w:widowControl w:val="0"/>
      <w:tabs>
        <w:tab w:val="center" w:pos="4153"/>
        <w:tab w:val="right" w:pos="8306"/>
      </w:tabs>
      <w:autoSpaceDE w:val="0"/>
      <w:autoSpaceDN w:val="0"/>
      <w:adjustRightInd w:val="0"/>
    </w:pPr>
    <w:rPr>
      <w:sz w:val="20"/>
      <w:szCs w:val="20"/>
    </w:rPr>
  </w:style>
  <w:style w:type="character" w:customStyle="1" w:styleId="af8">
    <w:name w:val="Нижний колонтитул Знак"/>
    <w:basedOn w:val="a0"/>
    <w:link w:val="af7"/>
    <w:rsid w:val="00CB0E30"/>
    <w:rPr>
      <w:rFonts w:ascii="Times New Roman" w:eastAsia="Times New Roman" w:hAnsi="Times New Roman" w:cs="Times New Roman"/>
      <w:sz w:val="20"/>
      <w:szCs w:val="20"/>
      <w:lang w:eastAsia="ru-RU"/>
    </w:rPr>
  </w:style>
  <w:style w:type="character" w:styleId="af9">
    <w:name w:val="page number"/>
    <w:basedOn w:val="a0"/>
    <w:rsid w:val="00CB0E30"/>
  </w:style>
  <w:style w:type="paragraph" w:styleId="afa">
    <w:name w:val="Block Text"/>
    <w:basedOn w:val="a"/>
    <w:rsid w:val="00CB0E30"/>
    <w:pPr>
      <w:widowControl w:val="0"/>
      <w:shd w:val="clear" w:color="auto" w:fill="FFFFFF"/>
      <w:tabs>
        <w:tab w:val="left" w:pos="7421"/>
      </w:tabs>
      <w:autoSpaceDE w:val="0"/>
      <w:autoSpaceDN w:val="0"/>
      <w:adjustRightInd w:val="0"/>
      <w:ind w:left="-284" w:right="-290"/>
      <w:jc w:val="both"/>
    </w:pPr>
    <w:rPr>
      <w:color w:val="000000"/>
      <w:spacing w:val="3"/>
      <w:szCs w:val="20"/>
    </w:rPr>
  </w:style>
  <w:style w:type="paragraph" w:customStyle="1" w:styleId="ConsPlusNonformat">
    <w:name w:val="ConsPlusNonformat"/>
    <w:rsid w:val="00CB0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B0E30"/>
    <w:pPr>
      <w:shd w:val="clear" w:color="auto" w:fill="FFFFFF"/>
      <w:tabs>
        <w:tab w:val="left" w:pos="446"/>
      </w:tabs>
      <w:ind w:left="-180"/>
      <w:jc w:val="both"/>
    </w:pPr>
    <w:rPr>
      <w:color w:val="000000"/>
      <w:spacing w:val="6"/>
      <w:sz w:val="28"/>
      <w:szCs w:val="14"/>
    </w:rPr>
  </w:style>
  <w:style w:type="character" w:customStyle="1" w:styleId="24">
    <w:name w:val="Основной текст с отступом 2 Знак"/>
    <w:basedOn w:val="a0"/>
    <w:link w:val="23"/>
    <w:rsid w:val="00CB0E30"/>
    <w:rPr>
      <w:rFonts w:ascii="Times New Roman" w:eastAsia="Times New Roman" w:hAnsi="Times New Roman" w:cs="Times New Roman"/>
      <w:color w:val="000000"/>
      <w:spacing w:val="6"/>
      <w:sz w:val="28"/>
      <w:szCs w:val="14"/>
      <w:shd w:val="clear" w:color="auto" w:fill="FFFFFF"/>
      <w:lang w:eastAsia="ru-RU"/>
    </w:rPr>
  </w:style>
  <w:style w:type="paragraph" w:styleId="afb">
    <w:name w:val="header"/>
    <w:aliases w:val="TI Upper Header"/>
    <w:basedOn w:val="a"/>
    <w:link w:val="afc"/>
    <w:rsid w:val="00CB0E30"/>
    <w:pPr>
      <w:widowControl w:val="0"/>
      <w:tabs>
        <w:tab w:val="center" w:pos="4677"/>
        <w:tab w:val="right" w:pos="9355"/>
      </w:tabs>
      <w:autoSpaceDE w:val="0"/>
      <w:autoSpaceDN w:val="0"/>
      <w:adjustRightInd w:val="0"/>
    </w:pPr>
    <w:rPr>
      <w:sz w:val="20"/>
      <w:szCs w:val="20"/>
    </w:rPr>
  </w:style>
  <w:style w:type="character" w:customStyle="1" w:styleId="afc">
    <w:name w:val="Верхний колонтитул Знак"/>
    <w:aliases w:val="TI Upper Header Знак"/>
    <w:basedOn w:val="a0"/>
    <w:link w:val="afb"/>
    <w:rsid w:val="00CB0E30"/>
    <w:rPr>
      <w:rFonts w:ascii="Times New Roman" w:eastAsia="Times New Roman" w:hAnsi="Times New Roman" w:cs="Times New Roman"/>
      <w:sz w:val="20"/>
      <w:szCs w:val="20"/>
      <w:lang w:eastAsia="ru-RU"/>
    </w:rPr>
  </w:style>
  <w:style w:type="paragraph" w:styleId="31">
    <w:name w:val="Body Text Indent 3"/>
    <w:basedOn w:val="a"/>
    <w:link w:val="32"/>
    <w:rsid w:val="00CB0E30"/>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CB0E30"/>
    <w:rPr>
      <w:rFonts w:ascii="Times New Roman" w:eastAsia="Times New Roman" w:hAnsi="Times New Roman" w:cs="Times New Roman"/>
      <w:sz w:val="16"/>
      <w:szCs w:val="16"/>
      <w:lang w:eastAsia="ru-RU"/>
    </w:rPr>
  </w:style>
  <w:style w:type="table" w:styleId="afd">
    <w:name w:val="Table Grid"/>
    <w:basedOn w:val="a1"/>
    <w:rsid w:val="00CB0E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B0E30"/>
    <w:pPr>
      <w:widowControl w:val="0"/>
      <w:autoSpaceDE w:val="0"/>
      <w:autoSpaceDN w:val="0"/>
      <w:adjustRightInd w:val="0"/>
      <w:spacing w:after="0" w:line="240" w:lineRule="auto"/>
      <w:jc w:val="both"/>
    </w:pPr>
    <w:rPr>
      <w:rFonts w:ascii="Arial" w:eastAsia="Times New Roman" w:hAnsi="Arial" w:cs="Arial"/>
      <w:b/>
      <w:bCs/>
      <w:sz w:val="16"/>
      <w:szCs w:val="16"/>
      <w:lang w:val="en-US" w:eastAsia="ru-RU"/>
    </w:rPr>
  </w:style>
  <w:style w:type="paragraph" w:customStyle="1" w:styleId="210">
    <w:name w:val="Основной текст 21"/>
    <w:basedOn w:val="a"/>
    <w:rsid w:val="00CB0E30"/>
    <w:pPr>
      <w:ind w:firstLine="709"/>
      <w:jc w:val="both"/>
    </w:pPr>
    <w:rPr>
      <w:b/>
      <w:sz w:val="26"/>
      <w:szCs w:val="20"/>
    </w:rPr>
  </w:style>
  <w:style w:type="paragraph" w:customStyle="1" w:styleId="ConsPlusNormal">
    <w:name w:val="ConsPlusNormal"/>
    <w:rsid w:val="00CB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
    <w:name w:val="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0">
    <w:name w:val="Пункт"/>
    <w:basedOn w:val="a"/>
    <w:link w:val="13"/>
    <w:rsid w:val="00CB0E30"/>
    <w:pPr>
      <w:tabs>
        <w:tab w:val="num" w:pos="1494"/>
      </w:tabs>
      <w:spacing w:line="360" w:lineRule="auto"/>
      <w:ind w:left="1494" w:hanging="1134"/>
      <w:jc w:val="both"/>
    </w:pPr>
    <w:rPr>
      <w:snapToGrid w:val="0"/>
      <w:sz w:val="28"/>
      <w:szCs w:val="20"/>
    </w:rPr>
  </w:style>
  <w:style w:type="paragraph" w:customStyle="1" w:styleId="aff1">
    <w:name w:val="Подподпункт"/>
    <w:basedOn w:val="a"/>
    <w:link w:val="aff2"/>
    <w:rsid w:val="00CB0E30"/>
    <w:pPr>
      <w:tabs>
        <w:tab w:val="num" w:pos="1701"/>
      </w:tabs>
      <w:spacing w:line="360" w:lineRule="auto"/>
      <w:ind w:left="1701" w:hanging="567"/>
      <w:jc w:val="both"/>
    </w:pPr>
    <w:rPr>
      <w:snapToGrid w:val="0"/>
      <w:sz w:val="28"/>
      <w:szCs w:val="20"/>
    </w:rPr>
  </w:style>
  <w:style w:type="paragraph" w:customStyle="1" w:styleId="aff3">
    <w:name w:val="Знак Знак Знак Знак Знак Знак Знак"/>
    <w:basedOn w:val="a"/>
    <w:rsid w:val="00CB0E30"/>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3">
    <w:name w:val="Пункт Знак1"/>
    <w:link w:val="aff0"/>
    <w:rsid w:val="00CB0E30"/>
    <w:rPr>
      <w:rFonts w:ascii="Times New Roman" w:eastAsia="Times New Roman" w:hAnsi="Times New Roman" w:cs="Times New Roman"/>
      <w:snapToGrid w:val="0"/>
      <w:sz w:val="28"/>
      <w:szCs w:val="20"/>
      <w:lang w:eastAsia="ru-RU"/>
    </w:rPr>
  </w:style>
  <w:style w:type="character" w:customStyle="1" w:styleId="aff2">
    <w:name w:val="Подподпункт Знак"/>
    <w:link w:val="aff1"/>
    <w:locked/>
    <w:rsid w:val="00CB0E30"/>
    <w:rPr>
      <w:rFonts w:ascii="Times New Roman" w:eastAsia="Times New Roman" w:hAnsi="Times New Roman" w:cs="Times New Roman"/>
      <w:snapToGrid w:val="0"/>
      <w:sz w:val="28"/>
      <w:szCs w:val="20"/>
      <w:lang w:eastAsia="ru-RU"/>
    </w:rPr>
  </w:style>
  <w:style w:type="character" w:customStyle="1" w:styleId="apple-style-span">
    <w:name w:val="apple-style-span"/>
    <w:basedOn w:val="a0"/>
    <w:rsid w:val="00CB0E30"/>
  </w:style>
  <w:style w:type="paragraph" w:styleId="aff4">
    <w:name w:val="Normal (Web)"/>
    <w:basedOn w:val="a"/>
    <w:rsid w:val="00CB0E30"/>
    <w:pPr>
      <w:spacing w:before="100" w:beforeAutospacing="1" w:after="100" w:afterAutospacing="1"/>
    </w:pPr>
  </w:style>
  <w:style w:type="character" w:styleId="aff5">
    <w:name w:val="Strong"/>
    <w:uiPriority w:val="22"/>
    <w:qFormat/>
    <w:rsid w:val="00CB0E30"/>
    <w:rPr>
      <w:b/>
      <w:bCs/>
    </w:rPr>
  </w:style>
  <w:style w:type="paragraph" w:styleId="aff6">
    <w:name w:val="No Spacing"/>
    <w:qFormat/>
    <w:rsid w:val="00CB0E30"/>
    <w:pPr>
      <w:spacing w:after="0" w:line="240" w:lineRule="auto"/>
    </w:pPr>
    <w:rPr>
      <w:rFonts w:ascii="Calibri" w:eastAsia="Calibri" w:hAnsi="Calibri" w:cs="Times New Roman"/>
    </w:rPr>
  </w:style>
  <w:style w:type="paragraph" w:customStyle="1" w:styleId="14">
    <w:name w:val="Абзац списка1"/>
    <w:aliases w:val="Мой Список"/>
    <w:basedOn w:val="a"/>
    <w:link w:val="ListParagraphChar"/>
    <w:rsid w:val="00BD733F"/>
    <w:pPr>
      <w:ind w:left="708"/>
    </w:pPr>
  </w:style>
  <w:style w:type="character" w:customStyle="1" w:styleId="ListParagraphChar">
    <w:name w:val="List Paragraph Char"/>
    <w:aliases w:val="Мой Список Char"/>
    <w:link w:val="14"/>
    <w:locked/>
    <w:rsid w:val="00BD733F"/>
    <w:rPr>
      <w:rFonts w:ascii="Times New Roman" w:eastAsia="Times New Roman" w:hAnsi="Times New Roman" w:cs="Times New Roman"/>
      <w:sz w:val="24"/>
      <w:szCs w:val="24"/>
      <w:lang w:eastAsia="ru-RU"/>
    </w:rPr>
  </w:style>
  <w:style w:type="paragraph" w:customStyle="1" w:styleId="Default">
    <w:name w:val="Default"/>
    <w:rsid w:val="00560ED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3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параграфа (1.),1"/>
    <w:basedOn w:val="a"/>
    <w:next w:val="a"/>
    <w:link w:val="10"/>
    <w:qFormat/>
    <w:rsid w:val="00CB0E30"/>
    <w:pPr>
      <w:keepNext/>
      <w:spacing w:before="240" w:after="60"/>
      <w:outlineLvl w:val="0"/>
    </w:pPr>
    <w:rPr>
      <w:rFonts w:ascii="Arial" w:hAnsi="Arial" w:cs="Arial"/>
      <w:b/>
      <w:bCs/>
      <w:kern w:val="32"/>
      <w:sz w:val="32"/>
      <w:szCs w:val="32"/>
    </w:rPr>
  </w:style>
  <w:style w:type="paragraph" w:styleId="2">
    <w:name w:val="heading 2"/>
    <w:aliases w:val="H2,H2 Знак,Заголовок 21,h2,h21,5,Заголовок пункта (1.1),2,Заголовок 22,Numbered text 3,H21,H22,h22,H211,h211,H23,H24,H25"/>
    <w:basedOn w:val="a"/>
    <w:next w:val="a"/>
    <w:link w:val="20"/>
    <w:qFormat/>
    <w:rsid w:val="00CB0E3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0E3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B0E30"/>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1 Знак"/>
    <w:basedOn w:val="a0"/>
    <w:link w:val="1"/>
    <w:rsid w:val="00CB0E30"/>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h2 Знак,h21 Знак,5 Знак,Заголовок пункта (1.1) Знак,2 Знак,Заголовок 22 Знак,Numbered text 3 Знак,H21 Знак,H22 Знак,h22 Знак,H211 Знак,h211 Знак,H23 Знак,H24 Знак,H25 Знак"/>
    <w:basedOn w:val="a0"/>
    <w:link w:val="2"/>
    <w:rsid w:val="00CB0E3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0E30"/>
    <w:rPr>
      <w:rFonts w:ascii="Arial" w:eastAsia="Times New Roman" w:hAnsi="Arial" w:cs="Arial"/>
      <w:b/>
      <w:bCs/>
      <w:sz w:val="26"/>
      <w:szCs w:val="26"/>
      <w:lang w:eastAsia="ru-RU"/>
    </w:rPr>
  </w:style>
  <w:style w:type="character" w:customStyle="1" w:styleId="40">
    <w:name w:val="Заголовок 4 Знак"/>
    <w:basedOn w:val="a0"/>
    <w:link w:val="4"/>
    <w:rsid w:val="00CB0E30"/>
    <w:rPr>
      <w:rFonts w:asciiTheme="majorHAnsi" w:eastAsiaTheme="majorEastAsia" w:hAnsiTheme="majorHAnsi" w:cstheme="majorBidi"/>
      <w:b/>
      <w:bCs/>
      <w:i/>
      <w:iCs/>
      <w:color w:val="4472C4" w:themeColor="accent1"/>
      <w:sz w:val="24"/>
      <w:szCs w:val="24"/>
      <w:lang w:eastAsia="ru-RU"/>
    </w:rPr>
  </w:style>
  <w:style w:type="paragraph" w:styleId="a3">
    <w:name w:val="List Paragraph"/>
    <w:aliases w:val="Маркер,Bullet Number,Нумерованый список,List Paragraph1,Bullet List,FooterText,numbered,lp1"/>
    <w:basedOn w:val="a"/>
    <w:link w:val="a4"/>
    <w:qFormat/>
    <w:rsid w:val="00CB0E30"/>
    <w:pPr>
      <w:ind w:left="708"/>
    </w:pPr>
  </w:style>
  <w:style w:type="character" w:styleId="a5">
    <w:name w:val="footnote reference"/>
    <w:semiHidden/>
    <w:rsid w:val="00CB0E30"/>
    <w:rPr>
      <w:vertAlign w:val="superscript"/>
    </w:rPr>
  </w:style>
  <w:style w:type="paragraph" w:styleId="a6">
    <w:name w:val="footnote text"/>
    <w:basedOn w:val="a"/>
    <w:link w:val="a7"/>
    <w:semiHidden/>
    <w:rsid w:val="00CB0E30"/>
    <w:pPr>
      <w:widowControl w:val="0"/>
      <w:autoSpaceDE w:val="0"/>
      <w:autoSpaceDN w:val="0"/>
    </w:pPr>
    <w:rPr>
      <w:sz w:val="20"/>
      <w:szCs w:val="20"/>
    </w:rPr>
  </w:style>
  <w:style w:type="character" w:customStyle="1" w:styleId="a7">
    <w:name w:val="Текст сноски Знак"/>
    <w:basedOn w:val="a0"/>
    <w:link w:val="a6"/>
    <w:semiHidden/>
    <w:rsid w:val="00CB0E30"/>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0E30"/>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CB0E30"/>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CB0E30"/>
    <w:pPr>
      <w:ind w:firstLine="709"/>
      <w:jc w:val="both"/>
    </w:pPr>
    <w:rPr>
      <w:rFonts w:eastAsia="MS Mincho"/>
      <w:sz w:val="26"/>
    </w:rPr>
  </w:style>
  <w:style w:type="character" w:customStyle="1" w:styleId="11">
    <w:name w:val="Основной текст Знак1"/>
    <w:basedOn w:val="a0"/>
    <w:uiPriority w:val="99"/>
    <w:semiHidden/>
    <w:rsid w:val="00CB0E3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B0E30"/>
    <w:rPr>
      <w:rFonts w:ascii="Tahoma" w:hAnsi="Tahoma" w:cs="Tahoma"/>
      <w:sz w:val="16"/>
      <w:szCs w:val="16"/>
    </w:rPr>
  </w:style>
  <w:style w:type="character" w:customStyle="1" w:styleId="ab">
    <w:name w:val="Текст выноски Знак"/>
    <w:basedOn w:val="a0"/>
    <w:link w:val="aa"/>
    <w:semiHidden/>
    <w:rsid w:val="00CB0E30"/>
    <w:rPr>
      <w:rFonts w:ascii="Tahoma" w:eastAsia="Times New Roman" w:hAnsi="Tahoma" w:cs="Tahoma"/>
      <w:sz w:val="16"/>
      <w:szCs w:val="16"/>
      <w:lang w:eastAsia="ru-RU"/>
    </w:rPr>
  </w:style>
  <w:style w:type="character" w:styleId="ac">
    <w:name w:val="Hyperlink"/>
    <w:rsid w:val="00CB0E30"/>
    <w:rPr>
      <w:color w:val="0000FF"/>
      <w:u w:val="single"/>
    </w:rPr>
  </w:style>
  <w:style w:type="paragraph" w:styleId="ad">
    <w:name w:val="caption"/>
    <w:basedOn w:val="a"/>
    <w:next w:val="a"/>
    <w:autoRedefine/>
    <w:unhideWhenUsed/>
    <w:qFormat/>
    <w:rsid w:val="00CB0E30"/>
    <w:pPr>
      <w:keepNext/>
      <w:spacing w:before="120" w:after="120" w:line="288" w:lineRule="auto"/>
      <w:jc w:val="center"/>
    </w:pPr>
    <w:rPr>
      <w:rFonts w:eastAsia="Calibri"/>
      <w:b/>
      <w:bCs/>
      <w:sz w:val="28"/>
      <w:szCs w:val="28"/>
      <w:lang w:eastAsia="en-US"/>
    </w:rPr>
  </w:style>
  <w:style w:type="paragraph" w:styleId="21">
    <w:name w:val="Body Text 2"/>
    <w:basedOn w:val="a"/>
    <w:link w:val="22"/>
    <w:unhideWhenUsed/>
    <w:rsid w:val="00CB0E30"/>
    <w:pPr>
      <w:spacing w:after="120" w:line="480" w:lineRule="auto"/>
    </w:pPr>
  </w:style>
  <w:style w:type="character" w:customStyle="1" w:styleId="22">
    <w:name w:val="Основной текст 2 Знак"/>
    <w:basedOn w:val="a0"/>
    <w:link w:val="21"/>
    <w:rsid w:val="00CB0E30"/>
    <w:rPr>
      <w:rFonts w:ascii="Times New Roman" w:eastAsia="Times New Roman" w:hAnsi="Times New Roman" w:cs="Times New Roman"/>
      <w:sz w:val="24"/>
      <w:szCs w:val="24"/>
      <w:lang w:eastAsia="ru-RU"/>
    </w:rPr>
  </w:style>
  <w:style w:type="paragraph" w:styleId="ae">
    <w:name w:val="Title"/>
    <w:basedOn w:val="a"/>
    <w:link w:val="af"/>
    <w:qFormat/>
    <w:rsid w:val="00CB0E30"/>
    <w:pPr>
      <w:ind w:right="-346"/>
      <w:jc w:val="center"/>
    </w:pPr>
    <w:rPr>
      <w:b/>
      <w:bCs/>
      <w:color w:val="000000"/>
      <w:sz w:val="28"/>
      <w:szCs w:val="28"/>
    </w:rPr>
  </w:style>
  <w:style w:type="character" w:customStyle="1" w:styleId="af">
    <w:name w:val="Название Знак"/>
    <w:basedOn w:val="a0"/>
    <w:link w:val="ae"/>
    <w:rsid w:val="00CB0E30"/>
    <w:rPr>
      <w:rFonts w:ascii="Times New Roman" w:eastAsia="Times New Roman" w:hAnsi="Times New Roman" w:cs="Times New Roman"/>
      <w:b/>
      <w:bCs/>
      <w:color w:val="000000"/>
      <w:sz w:val="28"/>
      <w:szCs w:val="28"/>
      <w:lang w:eastAsia="ru-RU"/>
    </w:rPr>
  </w:style>
  <w:style w:type="paragraph" w:customStyle="1" w:styleId="12">
    <w:name w:val="Обычный1"/>
    <w:link w:val="Normal"/>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B0E30"/>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CB0E30"/>
    <w:pPr>
      <w:spacing w:after="120"/>
      <w:ind w:left="283"/>
    </w:pPr>
  </w:style>
  <w:style w:type="character" w:customStyle="1" w:styleId="af1">
    <w:name w:val="Основной текст с отступом Знак"/>
    <w:basedOn w:val="a0"/>
    <w:link w:val="af0"/>
    <w:uiPriority w:val="99"/>
    <w:semiHidden/>
    <w:rsid w:val="00CB0E30"/>
    <w:rPr>
      <w:rFonts w:ascii="Times New Roman" w:eastAsia="Times New Roman" w:hAnsi="Times New Roman" w:cs="Times New Roman"/>
      <w:sz w:val="24"/>
      <w:szCs w:val="24"/>
      <w:lang w:eastAsia="ru-RU"/>
    </w:rPr>
  </w:style>
  <w:style w:type="paragraph" w:customStyle="1" w:styleId="ConsNormal">
    <w:name w:val="ConsNormal"/>
    <w:uiPriority w:val="99"/>
    <w:rsid w:val="00CB0E30"/>
    <w:pPr>
      <w:widowControl w:val="0"/>
      <w:snapToGrid w:val="0"/>
      <w:spacing w:after="0" w:line="240" w:lineRule="auto"/>
      <w:ind w:firstLine="720"/>
    </w:pPr>
    <w:rPr>
      <w:rFonts w:ascii="Arial" w:eastAsia="Times New Roman" w:hAnsi="Arial" w:cs="Arial"/>
      <w:sz w:val="20"/>
      <w:szCs w:val="20"/>
      <w:lang w:eastAsia="ru-RU"/>
    </w:rPr>
  </w:style>
  <w:style w:type="paragraph" w:customStyle="1" w:styleId="110">
    <w:name w:val="Обычный11"/>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styleId="af2">
    <w:name w:val="annotation reference"/>
    <w:basedOn w:val="a0"/>
    <w:unhideWhenUsed/>
    <w:rsid w:val="00CB0E30"/>
    <w:rPr>
      <w:sz w:val="16"/>
      <w:szCs w:val="16"/>
    </w:rPr>
  </w:style>
  <w:style w:type="paragraph" w:styleId="af3">
    <w:name w:val="annotation text"/>
    <w:basedOn w:val="a"/>
    <w:link w:val="af4"/>
    <w:unhideWhenUsed/>
    <w:rsid w:val="00CB0E30"/>
    <w:rPr>
      <w:sz w:val="20"/>
      <w:szCs w:val="20"/>
    </w:rPr>
  </w:style>
  <w:style w:type="character" w:customStyle="1" w:styleId="af4">
    <w:name w:val="Текст примечания Знак"/>
    <w:basedOn w:val="a0"/>
    <w:link w:val="af3"/>
    <w:rsid w:val="00CB0E30"/>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CB0E30"/>
    <w:rPr>
      <w:b/>
      <w:bCs/>
    </w:rPr>
  </w:style>
  <w:style w:type="character" w:customStyle="1" w:styleId="af6">
    <w:name w:val="Тема примечания Знак"/>
    <w:basedOn w:val="af4"/>
    <w:link w:val="af5"/>
    <w:rsid w:val="00CB0E30"/>
    <w:rPr>
      <w:rFonts w:ascii="Times New Roman" w:eastAsia="Times New Roman" w:hAnsi="Times New Roman" w:cs="Times New Roman"/>
      <w:b/>
      <w:bCs/>
      <w:sz w:val="20"/>
      <w:szCs w:val="20"/>
      <w:lang w:eastAsia="ru-RU"/>
    </w:rPr>
  </w:style>
  <w:style w:type="paragraph" w:styleId="af7">
    <w:name w:val="footer"/>
    <w:basedOn w:val="a"/>
    <w:link w:val="af8"/>
    <w:rsid w:val="00CB0E30"/>
    <w:pPr>
      <w:widowControl w:val="0"/>
      <w:tabs>
        <w:tab w:val="center" w:pos="4153"/>
        <w:tab w:val="right" w:pos="8306"/>
      </w:tabs>
      <w:autoSpaceDE w:val="0"/>
      <w:autoSpaceDN w:val="0"/>
      <w:adjustRightInd w:val="0"/>
    </w:pPr>
    <w:rPr>
      <w:sz w:val="20"/>
      <w:szCs w:val="20"/>
    </w:rPr>
  </w:style>
  <w:style w:type="character" w:customStyle="1" w:styleId="af8">
    <w:name w:val="Нижний колонтитул Знак"/>
    <w:basedOn w:val="a0"/>
    <w:link w:val="af7"/>
    <w:rsid w:val="00CB0E30"/>
    <w:rPr>
      <w:rFonts w:ascii="Times New Roman" w:eastAsia="Times New Roman" w:hAnsi="Times New Roman" w:cs="Times New Roman"/>
      <w:sz w:val="20"/>
      <w:szCs w:val="20"/>
      <w:lang w:eastAsia="ru-RU"/>
    </w:rPr>
  </w:style>
  <w:style w:type="character" w:styleId="af9">
    <w:name w:val="page number"/>
    <w:basedOn w:val="a0"/>
    <w:rsid w:val="00CB0E30"/>
  </w:style>
  <w:style w:type="paragraph" w:styleId="afa">
    <w:name w:val="Block Text"/>
    <w:basedOn w:val="a"/>
    <w:rsid w:val="00CB0E30"/>
    <w:pPr>
      <w:widowControl w:val="0"/>
      <w:shd w:val="clear" w:color="auto" w:fill="FFFFFF"/>
      <w:tabs>
        <w:tab w:val="left" w:pos="7421"/>
      </w:tabs>
      <w:autoSpaceDE w:val="0"/>
      <w:autoSpaceDN w:val="0"/>
      <w:adjustRightInd w:val="0"/>
      <w:ind w:left="-284" w:right="-290"/>
      <w:jc w:val="both"/>
    </w:pPr>
    <w:rPr>
      <w:color w:val="000000"/>
      <w:spacing w:val="3"/>
      <w:szCs w:val="20"/>
    </w:rPr>
  </w:style>
  <w:style w:type="paragraph" w:customStyle="1" w:styleId="ConsPlusNonformat">
    <w:name w:val="ConsPlusNonformat"/>
    <w:rsid w:val="00CB0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B0E30"/>
    <w:pPr>
      <w:shd w:val="clear" w:color="auto" w:fill="FFFFFF"/>
      <w:tabs>
        <w:tab w:val="left" w:pos="446"/>
      </w:tabs>
      <w:ind w:left="-180"/>
      <w:jc w:val="both"/>
    </w:pPr>
    <w:rPr>
      <w:color w:val="000000"/>
      <w:spacing w:val="6"/>
      <w:sz w:val="28"/>
      <w:szCs w:val="14"/>
    </w:rPr>
  </w:style>
  <w:style w:type="character" w:customStyle="1" w:styleId="24">
    <w:name w:val="Основной текст с отступом 2 Знак"/>
    <w:basedOn w:val="a0"/>
    <w:link w:val="23"/>
    <w:rsid w:val="00CB0E30"/>
    <w:rPr>
      <w:rFonts w:ascii="Times New Roman" w:eastAsia="Times New Roman" w:hAnsi="Times New Roman" w:cs="Times New Roman"/>
      <w:color w:val="000000"/>
      <w:spacing w:val="6"/>
      <w:sz w:val="28"/>
      <w:szCs w:val="14"/>
      <w:shd w:val="clear" w:color="auto" w:fill="FFFFFF"/>
      <w:lang w:eastAsia="ru-RU"/>
    </w:rPr>
  </w:style>
  <w:style w:type="paragraph" w:styleId="afb">
    <w:name w:val="header"/>
    <w:aliases w:val="TI Upper Header"/>
    <w:basedOn w:val="a"/>
    <w:link w:val="afc"/>
    <w:rsid w:val="00CB0E30"/>
    <w:pPr>
      <w:widowControl w:val="0"/>
      <w:tabs>
        <w:tab w:val="center" w:pos="4677"/>
        <w:tab w:val="right" w:pos="9355"/>
      </w:tabs>
      <w:autoSpaceDE w:val="0"/>
      <w:autoSpaceDN w:val="0"/>
      <w:adjustRightInd w:val="0"/>
    </w:pPr>
    <w:rPr>
      <w:sz w:val="20"/>
      <w:szCs w:val="20"/>
    </w:rPr>
  </w:style>
  <w:style w:type="character" w:customStyle="1" w:styleId="afc">
    <w:name w:val="Верхний колонтитул Знак"/>
    <w:aliases w:val="TI Upper Header Знак"/>
    <w:basedOn w:val="a0"/>
    <w:link w:val="afb"/>
    <w:rsid w:val="00CB0E30"/>
    <w:rPr>
      <w:rFonts w:ascii="Times New Roman" w:eastAsia="Times New Roman" w:hAnsi="Times New Roman" w:cs="Times New Roman"/>
      <w:sz w:val="20"/>
      <w:szCs w:val="20"/>
      <w:lang w:eastAsia="ru-RU"/>
    </w:rPr>
  </w:style>
  <w:style w:type="paragraph" w:styleId="31">
    <w:name w:val="Body Text Indent 3"/>
    <w:basedOn w:val="a"/>
    <w:link w:val="32"/>
    <w:rsid w:val="00CB0E30"/>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CB0E30"/>
    <w:rPr>
      <w:rFonts w:ascii="Times New Roman" w:eastAsia="Times New Roman" w:hAnsi="Times New Roman" w:cs="Times New Roman"/>
      <w:sz w:val="16"/>
      <w:szCs w:val="16"/>
      <w:lang w:eastAsia="ru-RU"/>
    </w:rPr>
  </w:style>
  <w:style w:type="table" w:styleId="afd">
    <w:name w:val="Table Grid"/>
    <w:basedOn w:val="a1"/>
    <w:rsid w:val="00CB0E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B0E30"/>
    <w:pPr>
      <w:widowControl w:val="0"/>
      <w:autoSpaceDE w:val="0"/>
      <w:autoSpaceDN w:val="0"/>
      <w:adjustRightInd w:val="0"/>
      <w:spacing w:after="0" w:line="240" w:lineRule="auto"/>
      <w:jc w:val="both"/>
    </w:pPr>
    <w:rPr>
      <w:rFonts w:ascii="Arial" w:eastAsia="Times New Roman" w:hAnsi="Arial" w:cs="Arial"/>
      <w:b/>
      <w:bCs/>
      <w:sz w:val="16"/>
      <w:szCs w:val="16"/>
      <w:lang w:val="en-US" w:eastAsia="ru-RU"/>
    </w:rPr>
  </w:style>
  <w:style w:type="paragraph" w:customStyle="1" w:styleId="210">
    <w:name w:val="Основной текст 21"/>
    <w:basedOn w:val="a"/>
    <w:rsid w:val="00CB0E30"/>
    <w:pPr>
      <w:ind w:firstLine="709"/>
      <w:jc w:val="both"/>
    </w:pPr>
    <w:rPr>
      <w:b/>
      <w:sz w:val="26"/>
      <w:szCs w:val="20"/>
    </w:rPr>
  </w:style>
  <w:style w:type="paragraph" w:customStyle="1" w:styleId="ConsPlusNormal">
    <w:name w:val="ConsPlusNormal"/>
    <w:rsid w:val="00CB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
    <w:name w:val="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0">
    <w:name w:val="Пункт"/>
    <w:basedOn w:val="a"/>
    <w:link w:val="13"/>
    <w:rsid w:val="00CB0E30"/>
    <w:pPr>
      <w:tabs>
        <w:tab w:val="num" w:pos="1494"/>
      </w:tabs>
      <w:spacing w:line="360" w:lineRule="auto"/>
      <w:ind w:left="1494" w:hanging="1134"/>
      <w:jc w:val="both"/>
    </w:pPr>
    <w:rPr>
      <w:snapToGrid w:val="0"/>
      <w:sz w:val="28"/>
      <w:szCs w:val="20"/>
    </w:rPr>
  </w:style>
  <w:style w:type="paragraph" w:customStyle="1" w:styleId="aff1">
    <w:name w:val="Подподпункт"/>
    <w:basedOn w:val="a"/>
    <w:link w:val="aff2"/>
    <w:rsid w:val="00CB0E30"/>
    <w:pPr>
      <w:tabs>
        <w:tab w:val="num" w:pos="1701"/>
      </w:tabs>
      <w:spacing w:line="360" w:lineRule="auto"/>
      <w:ind w:left="1701" w:hanging="567"/>
      <w:jc w:val="both"/>
    </w:pPr>
    <w:rPr>
      <w:snapToGrid w:val="0"/>
      <w:sz w:val="28"/>
      <w:szCs w:val="20"/>
    </w:rPr>
  </w:style>
  <w:style w:type="paragraph" w:customStyle="1" w:styleId="aff3">
    <w:name w:val="Знак Знак Знак Знак Знак Знак Знак"/>
    <w:basedOn w:val="a"/>
    <w:rsid w:val="00CB0E30"/>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3">
    <w:name w:val="Пункт Знак1"/>
    <w:link w:val="aff0"/>
    <w:rsid w:val="00CB0E30"/>
    <w:rPr>
      <w:rFonts w:ascii="Times New Roman" w:eastAsia="Times New Roman" w:hAnsi="Times New Roman" w:cs="Times New Roman"/>
      <w:snapToGrid w:val="0"/>
      <w:sz w:val="28"/>
      <w:szCs w:val="20"/>
      <w:lang w:eastAsia="ru-RU"/>
    </w:rPr>
  </w:style>
  <w:style w:type="character" w:customStyle="1" w:styleId="aff2">
    <w:name w:val="Подподпункт Знак"/>
    <w:link w:val="aff1"/>
    <w:locked/>
    <w:rsid w:val="00CB0E30"/>
    <w:rPr>
      <w:rFonts w:ascii="Times New Roman" w:eastAsia="Times New Roman" w:hAnsi="Times New Roman" w:cs="Times New Roman"/>
      <w:snapToGrid w:val="0"/>
      <w:sz w:val="28"/>
      <w:szCs w:val="20"/>
      <w:lang w:eastAsia="ru-RU"/>
    </w:rPr>
  </w:style>
  <w:style w:type="character" w:customStyle="1" w:styleId="apple-style-span">
    <w:name w:val="apple-style-span"/>
    <w:basedOn w:val="a0"/>
    <w:rsid w:val="00CB0E30"/>
  </w:style>
  <w:style w:type="paragraph" w:styleId="aff4">
    <w:name w:val="Normal (Web)"/>
    <w:basedOn w:val="a"/>
    <w:rsid w:val="00CB0E30"/>
    <w:pPr>
      <w:spacing w:before="100" w:beforeAutospacing="1" w:after="100" w:afterAutospacing="1"/>
    </w:pPr>
  </w:style>
  <w:style w:type="character" w:styleId="aff5">
    <w:name w:val="Strong"/>
    <w:uiPriority w:val="22"/>
    <w:qFormat/>
    <w:rsid w:val="00CB0E30"/>
    <w:rPr>
      <w:b/>
      <w:bCs/>
    </w:rPr>
  </w:style>
  <w:style w:type="paragraph" w:styleId="aff6">
    <w:name w:val="No Spacing"/>
    <w:qFormat/>
    <w:rsid w:val="00CB0E30"/>
    <w:pPr>
      <w:spacing w:after="0" w:line="240" w:lineRule="auto"/>
    </w:pPr>
    <w:rPr>
      <w:rFonts w:ascii="Calibri" w:eastAsia="Calibri" w:hAnsi="Calibri" w:cs="Times New Roman"/>
    </w:rPr>
  </w:style>
  <w:style w:type="paragraph" w:customStyle="1" w:styleId="14">
    <w:name w:val="Абзац списка1"/>
    <w:aliases w:val="Мой Список"/>
    <w:basedOn w:val="a"/>
    <w:link w:val="ListParagraphChar"/>
    <w:rsid w:val="00BD733F"/>
    <w:pPr>
      <w:ind w:left="708"/>
    </w:pPr>
  </w:style>
  <w:style w:type="character" w:customStyle="1" w:styleId="ListParagraphChar">
    <w:name w:val="List Paragraph Char"/>
    <w:aliases w:val="Мой Список Char"/>
    <w:link w:val="14"/>
    <w:locked/>
    <w:rsid w:val="00BD733F"/>
    <w:rPr>
      <w:rFonts w:ascii="Times New Roman" w:eastAsia="Times New Roman" w:hAnsi="Times New Roman" w:cs="Times New Roman"/>
      <w:sz w:val="24"/>
      <w:szCs w:val="24"/>
      <w:lang w:eastAsia="ru-RU"/>
    </w:rPr>
  </w:style>
  <w:style w:type="paragraph" w:customStyle="1" w:styleId="Default">
    <w:name w:val="Default"/>
    <w:rsid w:val="00560ED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5FD5-73EB-44D1-8EFF-58809CF9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1164</Words>
  <Characters>6639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samoylenko@buxgipc.local</dc:creator>
  <cp:lastModifiedBy>kovalenko</cp:lastModifiedBy>
  <cp:revision>5</cp:revision>
  <cp:lastPrinted>2020-07-29T07:17:00Z</cp:lastPrinted>
  <dcterms:created xsi:type="dcterms:W3CDTF">2020-08-20T04:07:00Z</dcterms:created>
  <dcterms:modified xsi:type="dcterms:W3CDTF">2020-08-20T07:22:00Z</dcterms:modified>
</cp:coreProperties>
</file>