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9F67BF" w:rsidRPr="00743584">
        <w:rPr>
          <w:b/>
          <w:sz w:val="22"/>
          <w:szCs w:val="22"/>
          <w:highlight w:val="yellow"/>
        </w:rPr>
        <w:t>Волгоград</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475F79" w:rsidRPr="00743584">
        <w:rPr>
          <w:b/>
          <w:sz w:val="22"/>
          <w:szCs w:val="22"/>
          <w:highlight w:val="yellow"/>
        </w:rPr>
        <w:t>4</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743584">
        <w:rPr>
          <w:rFonts w:eastAsiaTheme="minorEastAsia"/>
          <w:sz w:val="22"/>
          <w:szCs w:val="22"/>
          <w:lang w:eastAsia="ru-RU"/>
        </w:rPr>
        <w:t xml:space="preserve">Наименование, количество, </w:t>
      </w:r>
      <w:r w:rsidR="00523EF8" w:rsidRPr="00743584">
        <w:rPr>
          <w:rFonts w:eastAsiaTheme="minorEastAsia"/>
          <w:sz w:val="22"/>
          <w:szCs w:val="22"/>
          <w:lang w:eastAsia="ru-RU"/>
        </w:rPr>
        <w:t xml:space="preserve">цена, </w:t>
      </w:r>
      <w:r w:rsidR="00FF6161" w:rsidRPr="00743584">
        <w:rPr>
          <w:rFonts w:eastAsiaTheme="minorEastAsia"/>
          <w:sz w:val="22"/>
          <w:szCs w:val="22"/>
          <w:lang w:eastAsia="ru-RU"/>
        </w:rPr>
        <w:t xml:space="preserve">требования к качеству, </w:t>
      </w:r>
      <w:r w:rsidR="00454D93" w:rsidRPr="00743584">
        <w:rPr>
          <w:rFonts w:eastAsiaTheme="minorEastAsia"/>
          <w:sz w:val="22"/>
          <w:szCs w:val="22"/>
          <w:lang w:eastAsia="ru-RU"/>
        </w:rPr>
        <w:t xml:space="preserve">таре и упаковке, </w:t>
      </w:r>
      <w:r w:rsidR="00FF6161" w:rsidRPr="00743584">
        <w:rPr>
          <w:rFonts w:eastAsiaTheme="minorEastAsia"/>
          <w:sz w:val="22"/>
          <w:szCs w:val="22"/>
          <w:lang w:eastAsia="ru-RU"/>
        </w:rPr>
        <w:t>сроки и способ поставки Това</w:t>
      </w:r>
      <w:r w:rsidR="00BB7EE1" w:rsidRPr="00743584">
        <w:rPr>
          <w:rFonts w:eastAsiaTheme="minorEastAsia"/>
          <w:sz w:val="22"/>
          <w:szCs w:val="22"/>
          <w:lang w:eastAsia="ru-RU"/>
        </w:rPr>
        <w:t>ра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2A3C9E" w:rsidRPr="00743584" w:rsidRDefault="00AC2CCA" w:rsidP="00F41009">
      <w:pPr>
        <w:ind w:firstLine="708"/>
        <w:contextualSpacing/>
        <w:jc w:val="both"/>
        <w:rPr>
          <w:rFonts w:eastAsiaTheme="minorEastAsia"/>
          <w:sz w:val="22"/>
          <w:szCs w:val="22"/>
          <w:lang w:eastAsia="ru-RU"/>
        </w:rPr>
      </w:pPr>
      <w:r w:rsidRPr="00743584">
        <w:rPr>
          <w:rFonts w:eastAsiaTheme="minorEastAsia"/>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743584">
        <w:rPr>
          <w:rFonts w:eastAsiaTheme="minorEastAsia"/>
          <w:sz w:val="22"/>
          <w:szCs w:val="22"/>
          <w:lang w:eastAsia="ru-RU"/>
        </w:rPr>
        <w:t>ветствия, паспортами качества, С</w:t>
      </w:r>
      <w:r w:rsidRPr="00743584">
        <w:rPr>
          <w:rFonts w:eastAsiaTheme="minorEastAsia"/>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 xml:space="preserve">Общая </w:t>
      </w:r>
      <w:proofErr w:type="gramStart"/>
      <w:r w:rsidR="00523EF8" w:rsidRPr="00743584">
        <w:rPr>
          <w:sz w:val="22"/>
          <w:szCs w:val="22"/>
        </w:rPr>
        <w:t>стоимость  поставки</w:t>
      </w:r>
      <w:proofErr w:type="gramEnd"/>
      <w:r w:rsidR="00523EF8" w:rsidRPr="00743584">
        <w:rPr>
          <w:sz w:val="22"/>
          <w:szCs w:val="22"/>
        </w:rPr>
        <w:t xml:space="preserve"> Товара   составляет </w:t>
      </w:r>
      <w:r w:rsidR="00523EF8" w:rsidRPr="006374D1">
        <w:rPr>
          <w:sz w:val="22"/>
          <w:szCs w:val="22"/>
          <w:highlight w:val="yellow"/>
        </w:rPr>
        <w:t>_____________________________ (___________________)</w:t>
      </w:r>
      <w:r w:rsidR="00523EF8" w:rsidRPr="00743584">
        <w:rPr>
          <w:sz w:val="22"/>
          <w:szCs w:val="22"/>
        </w:rPr>
        <w:t xml:space="preserve"> 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Pr="00743584" w:rsidRDefault="003E6F9A" w:rsidP="00743584">
      <w:pPr>
        <w:contextualSpacing/>
        <w:jc w:val="both"/>
        <w:rPr>
          <w:sz w:val="22"/>
          <w:szCs w:val="22"/>
        </w:rPr>
      </w:pPr>
      <w:r w:rsidRPr="00743584">
        <w:rPr>
          <w:rFonts w:eastAsiaTheme="minorEastAsia"/>
          <w:sz w:val="22"/>
          <w:szCs w:val="22"/>
          <w:lang w:eastAsia="ru-RU"/>
        </w:rPr>
        <w:t>- Транспортную накладную (при поставке Товара автомобильным транспортом).</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lastRenderedPageBreak/>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743584" w:rsidRDefault="002A3C9E"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743584">
        <w:rPr>
          <w:rFonts w:eastAsiaTheme="minorEastAsia"/>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743584">
        <w:rPr>
          <w:rFonts w:eastAsiaTheme="minorEastAsia"/>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743584"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 xml:space="preserve">Вызов представителя Поставщика, в случае обнаружения </w:t>
      </w:r>
      <w:r w:rsidR="009B3EB3" w:rsidRPr="00743584">
        <w:rPr>
          <w:rFonts w:eastAsiaTheme="minorEastAsia"/>
          <w:sz w:val="22"/>
          <w:szCs w:val="22"/>
          <w:lang w:eastAsia="ru-RU"/>
        </w:rPr>
        <w:t>в процессе приё</w:t>
      </w:r>
      <w:r w:rsidR="00DB6A2C" w:rsidRPr="00743584">
        <w:rPr>
          <w:rFonts w:eastAsiaTheme="minorEastAsia"/>
          <w:sz w:val="22"/>
          <w:szCs w:val="22"/>
          <w:lang w:eastAsia="ru-RU"/>
        </w:rPr>
        <w:t>мки Товара несоответствия качества, комплектности, тары (упаковки) или количества с</w:t>
      </w:r>
      <w:r w:rsidR="000A17F0" w:rsidRPr="00743584">
        <w:rPr>
          <w:rFonts w:eastAsiaTheme="minorEastAsia"/>
          <w:sz w:val="22"/>
          <w:szCs w:val="22"/>
          <w:lang w:eastAsia="ru-RU"/>
        </w:rPr>
        <w:t>огласованным Сторонами условиям</w:t>
      </w:r>
      <w:r w:rsidR="00DB6A2C" w:rsidRPr="00743584">
        <w:rPr>
          <w:rFonts w:eastAsiaTheme="minorEastAsia"/>
          <w:sz w:val="22"/>
          <w:szCs w:val="22"/>
          <w:lang w:eastAsia="ru-RU"/>
        </w:rPr>
        <w:t xml:space="preserve"> либо сопроводительным документам на Товар, обязателен.</w:t>
      </w:r>
    </w:p>
    <w:p w:rsidR="007E3FAD"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Уведомление о вызове  может быть направлено Поставщику</w:t>
      </w:r>
      <w:r w:rsidR="002B3D74" w:rsidRPr="00743584">
        <w:rPr>
          <w:rFonts w:eastAsiaTheme="minorEastAsia"/>
          <w:sz w:val="22"/>
          <w:szCs w:val="22"/>
          <w:lang w:eastAsia="ru-RU"/>
        </w:rPr>
        <w:t xml:space="preserve"> не позднее 2 суток, следующих за днем обнаружении  недостатков товара </w:t>
      </w:r>
      <w:r w:rsidRPr="00743584">
        <w:rPr>
          <w:rFonts w:eastAsiaTheme="minorEastAsia"/>
          <w:sz w:val="22"/>
          <w:szCs w:val="22"/>
          <w:lang w:eastAsia="ru-RU"/>
        </w:rPr>
        <w:t>посредством почтовой, факсимильной связи или электронной почты</w:t>
      </w:r>
      <w:r w:rsidR="007E3FAD" w:rsidRPr="00743584">
        <w:rPr>
          <w:rFonts w:eastAsiaTheme="minorEastAsia"/>
          <w:sz w:val="22"/>
          <w:szCs w:val="22"/>
          <w:lang w:eastAsia="ru-RU"/>
        </w:rPr>
        <w:t xml:space="preserve">, указанных в </w:t>
      </w:r>
      <w:r w:rsidR="000A17F0" w:rsidRPr="00743584">
        <w:rPr>
          <w:rFonts w:eastAsiaTheme="minorEastAsia"/>
          <w:sz w:val="22"/>
          <w:szCs w:val="22"/>
          <w:lang w:eastAsia="ru-RU"/>
        </w:rPr>
        <w:t>раздел</w:t>
      </w:r>
      <w:r w:rsidR="00C55DC8" w:rsidRPr="00743584">
        <w:rPr>
          <w:rFonts w:eastAsiaTheme="minorEastAsia"/>
          <w:sz w:val="22"/>
          <w:szCs w:val="22"/>
          <w:lang w:eastAsia="ru-RU"/>
        </w:rPr>
        <w:t>е</w:t>
      </w:r>
      <w:r w:rsidR="000A17F0" w:rsidRPr="00743584">
        <w:rPr>
          <w:rFonts w:eastAsiaTheme="minorEastAsia"/>
          <w:sz w:val="22"/>
          <w:szCs w:val="22"/>
          <w:lang w:eastAsia="ru-RU"/>
        </w:rPr>
        <w:t xml:space="preserve"> 10 </w:t>
      </w:r>
      <w:r w:rsidR="007E3FAD" w:rsidRPr="00743584">
        <w:rPr>
          <w:rFonts w:eastAsiaTheme="minorEastAsia"/>
          <w:sz w:val="22"/>
          <w:szCs w:val="22"/>
          <w:lang w:eastAsia="ru-RU"/>
        </w:rPr>
        <w:t>настоящего  договора и Спецификации.</w:t>
      </w:r>
    </w:p>
    <w:p w:rsidR="00DB6A2C" w:rsidRPr="00743584" w:rsidRDefault="000A17F0"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Не позднее следующих  суток </w:t>
      </w:r>
      <w:r w:rsidR="00DB6A2C" w:rsidRPr="00743584">
        <w:rPr>
          <w:rFonts w:eastAsiaTheme="minorEastAsia"/>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явиться для участия в продолжении двусторонней приемки Товара;</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предоставить Покупателю право на проведение приемки Товара в одностороннем порядке.</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Pr>
          <w:rFonts w:eastAsiaTheme="minorEastAsia"/>
          <w:sz w:val="22"/>
          <w:szCs w:val="22"/>
          <w:lang w:eastAsia="ru-RU"/>
        </w:rPr>
        <w:br/>
      </w:r>
      <w:r w:rsidRPr="00743584">
        <w:rPr>
          <w:rFonts w:eastAsiaTheme="minorEastAsia"/>
          <w:sz w:val="22"/>
          <w:szCs w:val="22"/>
          <w:lang w:eastAsia="ru-RU"/>
        </w:rPr>
        <w:t>ТОРГ-3 (утвержденных Постановлением Госкомстата РФ от 25.12.1998 г. № 132).</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743584">
        <w:rPr>
          <w:rFonts w:eastAsiaTheme="minorEastAsia"/>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743584" w:rsidRDefault="00396B02"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743584" w:rsidRDefault="00DB6A2C" w:rsidP="00DB6A2C">
      <w:pPr>
        <w:contextualSpacing/>
        <w:jc w:val="both"/>
        <w:rPr>
          <w:rFonts w:eastAsiaTheme="minorEastAsia"/>
          <w:sz w:val="22"/>
          <w:szCs w:val="22"/>
          <w:lang w:eastAsia="ru-RU"/>
        </w:rPr>
      </w:pPr>
      <w:r w:rsidRPr="00743584">
        <w:rPr>
          <w:rFonts w:eastAsiaTheme="minorEastAsia"/>
          <w:sz w:val="22"/>
          <w:szCs w:val="22"/>
          <w:lang w:eastAsia="ru-RU"/>
        </w:rPr>
        <w:lastRenderedPageBreak/>
        <w:t>- по недостаткам качества Товара, для которого устанавливается гарантийный срок – в течение всего срока гарантии.</w:t>
      </w:r>
    </w:p>
    <w:p w:rsidR="00DB6A2C" w:rsidRPr="00743584" w:rsidRDefault="006419CF" w:rsidP="00532620">
      <w:pPr>
        <w:contextualSpacing/>
        <w:jc w:val="both"/>
        <w:rPr>
          <w:rFonts w:eastAsiaTheme="minorEastAsia"/>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743584">
        <w:rPr>
          <w:rFonts w:eastAsiaTheme="minorEastAsia"/>
          <w:sz w:val="22"/>
          <w:szCs w:val="22"/>
          <w:lang w:eastAsia="ru-RU"/>
        </w:rPr>
        <w:t xml:space="preserve">оннем порядке, при условии, что </w:t>
      </w:r>
      <w:r w:rsidR="00DB6A2C" w:rsidRPr="00743584">
        <w:rPr>
          <w:rFonts w:eastAsiaTheme="minorEastAsia"/>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Pr="00743584"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 xml:space="preserve">документально подтвержденные </w:t>
      </w:r>
      <w:r w:rsidR="009D6F6F" w:rsidRPr="00743584">
        <w:rPr>
          <w:sz w:val="22"/>
          <w:szCs w:val="22"/>
        </w:rPr>
        <w:t>понесённые убытки.</w:t>
      </w: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743584">
        <w:rPr>
          <w:rFonts w:eastAsiaTheme="minorEastAsia"/>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CD5CA8" w:rsidP="00D5555B">
      <w:pPr>
        <w:jc w:val="both"/>
        <w:rPr>
          <w:sz w:val="22"/>
          <w:szCs w:val="22"/>
        </w:rPr>
      </w:pPr>
      <w:r w:rsidRPr="00743584">
        <w:rPr>
          <w:sz w:val="22"/>
          <w:szCs w:val="22"/>
        </w:rPr>
        <w:tab/>
      </w:r>
      <w:r w:rsidR="00F92D53"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Поставщик обязан возместить Покупателю вред, причиненный третьим лицам в результате н</w:t>
      </w:r>
      <w:r w:rsidR="00BD3D22" w:rsidRPr="00743584">
        <w:rPr>
          <w:sz w:val="22"/>
          <w:szCs w:val="22"/>
        </w:rPr>
        <w:t>есоответствия качества Товара</w:t>
      </w:r>
      <w:r w:rsidRPr="00743584">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743584">
        <w:rPr>
          <w:sz w:val="22"/>
          <w:szCs w:val="22"/>
        </w:rPr>
        <w:t>-ти</w:t>
      </w:r>
      <w:r w:rsidRPr="00743584">
        <w:rPr>
          <w:sz w:val="22"/>
          <w:szCs w:val="22"/>
        </w:rPr>
        <w:t xml:space="preserve"> </w:t>
      </w:r>
      <w:r w:rsidR="00054FED" w:rsidRPr="00743584">
        <w:rPr>
          <w:sz w:val="22"/>
          <w:szCs w:val="22"/>
        </w:rPr>
        <w:t xml:space="preserve">рабочих </w:t>
      </w:r>
      <w:r w:rsidRPr="00743584">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743584">
        <w:rPr>
          <w:sz w:val="22"/>
          <w:szCs w:val="22"/>
        </w:rPr>
        <w:t xml:space="preserve"> Поставщику для оплаты Товара</w:t>
      </w:r>
      <w:r w:rsidRPr="00743584">
        <w:rPr>
          <w:sz w:val="22"/>
          <w:szCs w:val="22"/>
        </w:rPr>
        <w:t>.</w:t>
      </w:r>
    </w:p>
    <w:p w:rsidR="00F92D53"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48217A" w:rsidRPr="00AB5558" w:rsidRDefault="0048217A" w:rsidP="0048217A">
      <w:pPr>
        <w:jc w:val="both"/>
        <w:rPr>
          <w:sz w:val="22"/>
          <w:szCs w:val="22"/>
        </w:rPr>
      </w:pPr>
      <w:bookmarkStart w:id="0" w:name="_GoBack"/>
      <w:bookmarkEnd w:id="0"/>
      <w:r w:rsidRPr="00AB5558">
        <w:rPr>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AB5558">
        <w:rPr>
          <w:sz w:val="22"/>
          <w:szCs w:val="22"/>
        </w:rPr>
        <w:t>доначисленного</w:t>
      </w:r>
      <w:proofErr w:type="spellEnd"/>
      <w:r w:rsidRPr="00AB5558">
        <w:rPr>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743584" w:rsidRDefault="0048217A" w:rsidP="0048217A">
      <w:pPr>
        <w:jc w:val="both"/>
        <w:rPr>
          <w:sz w:val="22"/>
          <w:szCs w:val="22"/>
        </w:rPr>
      </w:pPr>
      <w:r w:rsidRPr="00AB5558">
        <w:rPr>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lastRenderedPageBreak/>
        <w:t xml:space="preserve">6.1. Поставщик предоставляет гарантийные обязательства  в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r w:rsidR="002A3C9E" w:rsidRPr="00743584">
        <w:rPr>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743584">
        <w:rPr>
          <w:sz w:val="22"/>
          <w:szCs w:val="22"/>
        </w:rPr>
        <w:t>могли  предвидеть</w:t>
      </w:r>
      <w:proofErr w:type="gramEnd"/>
      <w:r w:rsidR="002A3C9E" w:rsidRPr="00743584">
        <w:rPr>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295B00" w:rsidRDefault="00CC2C81" w:rsidP="00295B00">
      <w:pPr>
        <w:suppressAutoHyphens w:val="0"/>
        <w:autoSpaceDE w:val="0"/>
        <w:autoSpaceDN w:val="0"/>
        <w:adjustRightInd w:val="0"/>
        <w:jc w:val="both"/>
        <w:rPr>
          <w:sz w:val="22"/>
          <w:szCs w:val="22"/>
          <w:lang w:eastAsia="ru-RU"/>
        </w:rPr>
      </w:pPr>
      <w:r w:rsidRPr="00743584">
        <w:rPr>
          <w:sz w:val="22"/>
          <w:szCs w:val="22"/>
        </w:rPr>
        <w:t>9</w:t>
      </w:r>
      <w:r w:rsidR="002A3C9E" w:rsidRPr="00743584">
        <w:rPr>
          <w:sz w:val="22"/>
          <w:szCs w:val="22"/>
        </w:rPr>
        <w:t>.2</w:t>
      </w:r>
      <w:r w:rsidR="00793BE9" w:rsidRPr="00743584">
        <w:rPr>
          <w:sz w:val="22"/>
          <w:szCs w:val="22"/>
        </w:rPr>
        <w:t xml:space="preserve">. </w:t>
      </w:r>
      <w:r w:rsidR="00295B00" w:rsidRPr="00295B00">
        <w:rPr>
          <w:sz w:val="22"/>
          <w:szCs w:val="22"/>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10 календарных дней с даты ее вручения стороне. В случае если претензия направлена по юридическому адресу Стороны, указанному в настоящем Договоре, посредством ФГУП </w:t>
      </w:r>
      <w:r w:rsidR="00295B00" w:rsidRPr="00295B00">
        <w:rPr>
          <w:sz w:val="22"/>
          <w:szCs w:val="22"/>
          <w:lang w:eastAsia="ru-RU"/>
        </w:rPr>
        <w:lastRenderedPageBreak/>
        <w:t>«Почта России» заказным письмом с уведомлением о вручении. В случае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95B00" w:rsidRDefault="00295B00" w:rsidP="00295B00"/>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proofErr w:type="gramStart"/>
      <w:r w:rsidR="002A3C9E" w:rsidRPr="006374D1">
        <w:rPr>
          <w:sz w:val="22"/>
          <w:szCs w:val="22"/>
          <w:highlight w:val="yellow"/>
        </w:rPr>
        <w:t>г</w:t>
      </w:r>
      <w:r w:rsidR="002A3C9E" w:rsidRPr="00743584">
        <w:rPr>
          <w:sz w:val="22"/>
          <w:szCs w:val="22"/>
        </w:rPr>
        <w:t>ода</w:t>
      </w:r>
      <w:r w:rsidR="00496D97" w:rsidRPr="00743584">
        <w:rPr>
          <w:sz w:val="22"/>
          <w:szCs w:val="22"/>
          <w:highlight w:val="yellow"/>
          <w:u w:val="single"/>
        </w:rPr>
        <w:t>(</w:t>
      </w:r>
      <w:proofErr w:type="gramEnd"/>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310"/>
        <w:gridCol w:w="5311"/>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A83772" w:rsidP="00A7624F">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743584" w:rsidRDefault="00A83772" w:rsidP="00A83772">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t>Покупатель:</w:t>
            </w:r>
          </w:p>
          <w:p w:rsidR="001C26C5" w:rsidRPr="00743584" w:rsidRDefault="001C26C5" w:rsidP="001C26C5">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743584" w:rsidRDefault="001C26C5" w:rsidP="001C26C5">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 xml:space="preserve">Мы, нижеподписавшиеся, от Покупателя_________________________________________________ в лице __________________________ и </w:t>
      </w:r>
      <w:proofErr w:type="spellStart"/>
      <w:r w:rsidRPr="00A2136B">
        <w:rPr>
          <w:sz w:val="20"/>
          <w:szCs w:val="20"/>
          <w:lang w:eastAsia="ru-RU"/>
        </w:rPr>
        <w:t>отПоставщика</w:t>
      </w:r>
      <w:proofErr w:type="spellEnd"/>
      <w:r w:rsidRPr="00A2136B">
        <w:rPr>
          <w:sz w:val="20"/>
          <w:szCs w:val="20"/>
          <w:lang w:eastAsia="ru-RU"/>
        </w:rPr>
        <w:t xml:space="preserve">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п/п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w:t>
            </w:r>
            <w:proofErr w:type="spellStart"/>
            <w:r w:rsidRPr="00A2136B">
              <w:rPr>
                <w:sz w:val="20"/>
                <w:szCs w:val="20"/>
                <w:lang w:eastAsia="ru-RU"/>
              </w:rPr>
              <w:t>руб</w:t>
            </w:r>
            <w:proofErr w:type="spellEnd"/>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159"/>
        <w:rPr>
          <w:sz w:val="20"/>
          <w:szCs w:val="20"/>
          <w:lang w:eastAsia="ru-RU"/>
        </w:rPr>
      </w:pPr>
      <w:r w:rsidRPr="00A2136B">
        <w:rPr>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A2136B">
        <w:rPr>
          <w:sz w:val="20"/>
          <w:szCs w:val="20"/>
          <w:lang w:eastAsia="ru-RU"/>
        </w:rPr>
        <w:t xml:space="preserve">Общая </w:t>
      </w:r>
      <w:proofErr w:type="gramStart"/>
      <w:r w:rsidR="00A512EA">
        <w:rPr>
          <w:sz w:val="20"/>
          <w:szCs w:val="20"/>
          <w:lang w:eastAsia="ru-RU"/>
        </w:rPr>
        <w:t>стоимость  Товара</w:t>
      </w:r>
      <w:proofErr w:type="gramEnd"/>
      <w:r w:rsidR="00A512EA">
        <w:rPr>
          <w:sz w:val="20"/>
          <w:szCs w:val="20"/>
          <w:lang w:eastAsia="ru-RU"/>
        </w:rPr>
        <w:t xml:space="preserve"> </w:t>
      </w:r>
      <w:r w:rsidRPr="00A2136B">
        <w:rPr>
          <w:sz w:val="20"/>
          <w:szCs w:val="20"/>
          <w:lang w:eastAsia="ru-RU"/>
        </w:rPr>
        <w:t>:</w:t>
      </w:r>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9641E5" w:rsidRPr="00A2136B">
        <w:rPr>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Pr="00A2136B">
        <w:rPr>
          <w:sz w:val="20"/>
          <w:szCs w:val="20"/>
          <w:lang w:eastAsia="ru-RU"/>
        </w:rPr>
        <w:t>Способ доставки:</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lastRenderedPageBreak/>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8"/>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15" w:rsidRDefault="00FC4C15">
      <w:r>
        <w:separator/>
      </w:r>
    </w:p>
  </w:endnote>
  <w:endnote w:type="continuationSeparator" w:id="0">
    <w:p w:rsidR="00FC4C15" w:rsidRDefault="00F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15" w:rsidRDefault="00FC4C15">
      <w:r>
        <w:separator/>
      </w:r>
    </w:p>
  </w:footnote>
  <w:footnote w:type="continuationSeparator" w:id="0">
    <w:p w:rsidR="00FC4C15" w:rsidRDefault="00FC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411AE"/>
    <w:rsid w:val="00342D8E"/>
    <w:rsid w:val="00343676"/>
    <w:rsid w:val="00343DF1"/>
    <w:rsid w:val="003577EA"/>
    <w:rsid w:val="00362F6E"/>
    <w:rsid w:val="00363624"/>
    <w:rsid w:val="0039245C"/>
    <w:rsid w:val="00396B02"/>
    <w:rsid w:val="003977CF"/>
    <w:rsid w:val="003A5EDF"/>
    <w:rsid w:val="003B476A"/>
    <w:rsid w:val="003B557C"/>
    <w:rsid w:val="003B6930"/>
    <w:rsid w:val="003C4D0A"/>
    <w:rsid w:val="003D6B2A"/>
    <w:rsid w:val="003E1330"/>
    <w:rsid w:val="003E6F9A"/>
    <w:rsid w:val="003F566E"/>
    <w:rsid w:val="003F658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624F"/>
    <w:rsid w:val="00A82951"/>
    <w:rsid w:val="00A82EB7"/>
    <w:rsid w:val="00A83772"/>
    <w:rsid w:val="00A94BFF"/>
    <w:rsid w:val="00AB4E32"/>
    <w:rsid w:val="00AB5558"/>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C656-D679-49E9-AC65-08DF66C5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tselihov</cp:lastModifiedBy>
  <cp:revision>4</cp:revision>
  <cp:lastPrinted>2014-11-18T12:11:00Z</cp:lastPrinted>
  <dcterms:created xsi:type="dcterms:W3CDTF">2018-02-15T09:11:00Z</dcterms:created>
  <dcterms:modified xsi:type="dcterms:W3CDTF">2018-02-15T10:48:00Z</dcterms:modified>
</cp:coreProperties>
</file>